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09BB" w14:textId="77777777" w:rsidR="00CF013F" w:rsidRDefault="00D247FD" w:rsidP="00CF013F">
      <w:r>
        <w:rPr>
          <w:noProof/>
          <w:lang w:eastAsia="pt-PT"/>
        </w:rPr>
        <mc:AlternateContent>
          <mc:Choice Requires="wps">
            <w:drawing>
              <wp:anchor distT="365760" distB="365760" distL="0" distR="0" simplePos="0" relativeHeight="251663360" behindDoc="0" locked="0" layoutInCell="1" allowOverlap="1" wp14:anchorId="77E627AE" wp14:editId="538D3E7D">
                <wp:simplePos x="0" y="0"/>
                <wp:positionH relativeFrom="margin">
                  <wp:posOffset>727075</wp:posOffset>
                </wp:positionH>
                <wp:positionV relativeFrom="margin">
                  <wp:posOffset>683895</wp:posOffset>
                </wp:positionV>
                <wp:extent cx="5528310" cy="1810385"/>
                <wp:effectExtent l="57150" t="57150" r="110490" b="106680"/>
                <wp:wrapTopAndBottom/>
                <wp:docPr id="148" name="Retâ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06B87" w14:textId="77777777" w:rsidR="0056668D" w:rsidRPr="00CF013F" w:rsidRDefault="0056668D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13F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MINISTÉRIO DAS FINANÇAS </w:t>
                            </w:r>
                          </w:p>
                          <w:p w14:paraId="545A00C5" w14:textId="77777777" w:rsidR="0056668D" w:rsidRPr="00CF013F" w:rsidRDefault="0056668D" w:rsidP="00CF013F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DC6088" w14:textId="77777777" w:rsidR="0056668D" w:rsidRPr="00CF013F" w:rsidRDefault="0056668D" w:rsidP="00CF013F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13F"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DIRECÇÃO NACIONAL DO PLANEAMENTO</w:t>
                            </w:r>
                          </w:p>
                          <w:p w14:paraId="70700883" w14:textId="77777777" w:rsidR="0056668D" w:rsidRPr="00CF013F" w:rsidRDefault="0056668D" w:rsidP="00CF013F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0371E5" w14:textId="77777777" w:rsidR="0056668D" w:rsidRPr="00563D99" w:rsidRDefault="0056668D" w:rsidP="00563D99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D99"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Serviço de Prospetiva, Acompanhamento Macroeconómico e Estatísticas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27AE" id="Retângulo 148" o:spid="_x0000_s1026" style="position:absolute;margin-left:57.25pt;margin-top:53.85pt;width:435.3pt;height:142.55pt;z-index:251663360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" filled="f" stroked="f" strokeweight="1pt">
                <v:shadow on="t" color="black" opacity="19660f" offset=".552mm,.73253mm"/>
                <v:textbox style="mso-fit-shape-to-text:t" inset="0,0,0,0">
                  <w:txbxContent>
                    <w:p w14:paraId="5AF06B87" w14:textId="77777777" w:rsidR="0056668D" w:rsidRPr="00CF013F" w:rsidRDefault="0056668D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13F">
                        <w:rPr>
                          <w:rFonts w:ascii="Gill Sans MT" w:hAnsi="Gill Sans MT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MINISTÉRIO DAS FINANÇAS </w:t>
                      </w:r>
                    </w:p>
                    <w:p w14:paraId="545A00C5" w14:textId="77777777" w:rsidR="0056668D" w:rsidRPr="00CF013F" w:rsidRDefault="0056668D" w:rsidP="00CF013F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DC6088" w14:textId="77777777" w:rsidR="0056668D" w:rsidRPr="00CF013F" w:rsidRDefault="0056668D" w:rsidP="00CF013F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13F"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DIRECÇÃO NACIONAL DO PLANEAMENTO</w:t>
                      </w:r>
                    </w:p>
                    <w:p w14:paraId="70700883" w14:textId="77777777" w:rsidR="0056668D" w:rsidRPr="00CF013F" w:rsidRDefault="0056668D" w:rsidP="00CF013F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0371E5" w14:textId="77777777" w:rsidR="0056668D" w:rsidRPr="00563D99" w:rsidRDefault="0056668D" w:rsidP="00563D99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D99"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Serviço de Prospetiva, Acompanhamento Macroeconómico e Estatísticas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C600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33120" wp14:editId="4BA09229">
                <wp:simplePos x="0" y="0"/>
                <wp:positionH relativeFrom="page">
                  <wp:posOffset>456565</wp:posOffset>
                </wp:positionH>
                <wp:positionV relativeFrom="page">
                  <wp:posOffset>180708</wp:posOffset>
                </wp:positionV>
                <wp:extent cx="1203158" cy="9655810"/>
                <wp:effectExtent l="228600" t="228600" r="226060" b="232410"/>
                <wp:wrapNone/>
                <wp:docPr id="472" name="Retângul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158" cy="9655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DA923" w14:textId="77777777" w:rsidR="0056668D" w:rsidRDefault="0056668D" w:rsidP="0014051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D1E93E1" w14:textId="77777777" w:rsidR="0056668D" w:rsidRPr="0014051A" w:rsidRDefault="0056668D" w:rsidP="0014051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Boletim de Acompanhamento Macroeconómico e Estatística Trimestral </w:t>
                            </w:r>
                          </w:p>
                          <w:p w14:paraId="191C1BB9" w14:textId="77777777" w:rsidR="0056668D" w:rsidRPr="0014051A" w:rsidRDefault="0056668D">
                            <w:pPr>
                              <w:pStyle w:val="Subttulo"/>
                              <w:rPr>
                                <w:rFonts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6CA33120" id="Retângulo 472" o:spid="_x0000_s1027" style="position:absolute;margin-left:35.95pt;margin-top:14.25pt;width:94.7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" fillcolor="#deeaf6 [660]" stroked="f" strokeweight="1pt">
                <v:textbox style="layout-flow:vertical;mso-layout-flow-alt:bottom-to-top" inset="14.4pt,,14.4pt">
                  <w:txbxContent>
                    <w:p w14:paraId="4E0DA923" w14:textId="77777777" w:rsidR="0056668D" w:rsidRDefault="0056668D" w:rsidP="0014051A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70AD47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D1E93E1" w14:textId="77777777" w:rsidR="0056668D" w:rsidRPr="0014051A" w:rsidRDefault="0056668D" w:rsidP="0014051A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70AD47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0AD47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Boletim de Acompanhamento Macroeconómico e Estatística Trimestral </w:t>
                      </w:r>
                    </w:p>
                    <w:p w14:paraId="191C1BB9" w14:textId="77777777" w:rsidR="0056668D" w:rsidRPr="0014051A" w:rsidRDefault="0056668D">
                      <w:pPr>
                        <w:pStyle w:val="Subttulo"/>
                        <w:rPr>
                          <w:rFonts w:cstheme="minorBid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F013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3FA58" wp14:editId="1B77FECD">
                <wp:simplePos x="0" y="0"/>
                <wp:positionH relativeFrom="column">
                  <wp:posOffset>-321945</wp:posOffset>
                </wp:positionH>
                <wp:positionV relativeFrom="paragraph">
                  <wp:posOffset>-294242</wp:posOffset>
                </wp:positionV>
                <wp:extent cx="0" cy="9080938"/>
                <wp:effectExtent l="57150" t="38100" r="57150" b="6350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938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DA04A" id="Conexão ret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5pt,-23.15pt" to="-25.35pt,6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" strokecolor="#5b9bd5 [3204]" strokeweight="1.5pt">
                <v:stroke joinstyle="miter"/>
              </v:line>
            </w:pict>
          </mc:Fallback>
        </mc:AlternateContent>
      </w:r>
    </w:p>
    <w:sdt>
      <w:sdtPr>
        <w:id w:val="-332145129"/>
        <w:docPartObj>
          <w:docPartGallery w:val="Cover Pages"/>
          <w:docPartUnique/>
        </w:docPartObj>
      </w:sdtPr>
      <w:sdtEndPr/>
      <w:sdtContent>
        <w:p w14:paraId="47E53615" w14:textId="77777777" w:rsidR="0014051A" w:rsidRDefault="00885E3A" w:rsidP="00885E3A">
          <w:pPr>
            <w:tabs>
              <w:tab w:val="center" w:pos="4252"/>
            </w:tabs>
            <w:rPr>
              <w:color w:val="FFFFFF" w:themeColor="background1"/>
              <w:sz w:val="21"/>
              <w:szCs w:val="21"/>
            </w:rPr>
          </w:pPr>
          <w:r>
            <w:tab/>
          </w:r>
        </w:p>
        <w:p w14:paraId="3F5893E1" w14:textId="77777777" w:rsidR="0014051A" w:rsidRDefault="000F69C2"/>
      </w:sdtContent>
    </w:sdt>
    <w:p w14:paraId="442DE6D2" w14:textId="77777777" w:rsidR="00EC6005" w:rsidRDefault="00EC6005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76C979" wp14:editId="191C2058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3357880" cy="140462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FBCD" w14:textId="13861DB5" w:rsidR="0056668D" w:rsidRPr="00CF013F" w:rsidRDefault="0056668D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</w:rPr>
                              <w:t>IV Trimestre de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6C9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142.95pt;margin-top:12.7pt;width:26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" stroked="f">
                <v:textbox style="mso-fit-shape-to-text:t">
                  <w:txbxContent>
                    <w:p w14:paraId="14BBFBCD" w14:textId="13861DB5" w:rsidR="0056668D" w:rsidRPr="00CF013F" w:rsidRDefault="0056668D">
                      <w:pPr>
                        <w:rPr>
                          <w:rFonts w:ascii="Gill Sans MT" w:hAnsi="Gill Sans MT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sz w:val="56"/>
                          <w:szCs w:val="56"/>
                        </w:rPr>
                        <w:t>IV Trimestre de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CD617" w14:textId="77777777" w:rsidR="00EC6005" w:rsidRDefault="00EC600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18D55" wp14:editId="2767ED04">
                <wp:simplePos x="0" y="0"/>
                <wp:positionH relativeFrom="column">
                  <wp:posOffset>2287577</wp:posOffset>
                </wp:positionH>
                <wp:positionV relativeFrom="paragraph">
                  <wp:posOffset>575813</wp:posOffset>
                </wp:positionV>
                <wp:extent cx="6303645" cy="7242175"/>
                <wp:effectExtent l="0" t="0" r="40005" b="34925"/>
                <wp:wrapNone/>
                <wp:docPr id="4" name="Faix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7242175"/>
                        </a:xfrm>
                        <a:prstGeom prst="diagStripe">
                          <a:avLst>
                            <a:gd name="adj" fmla="val 951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04B7" id="Faixa Diagonal 4" o:spid="_x0000_s1026" style="position:absolute;margin-left:180.1pt;margin-top:45.35pt;width:496.35pt;height:5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645,724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" path="m,6893319l5999998,r303647,l,7242175,,6893319xe" filled="f" strokecolor="#1f4d78 [1604]" strokeweight="1pt">
                <v:stroke joinstyle="miter"/>
                <v:path arrowok="t" o:connecttype="custom" o:connectlocs="0,6893319;5999998,0;6303645,0;0,7242175;0,6893319" o:connectangles="0,0,0,0,0"/>
              </v:shape>
            </w:pict>
          </mc:Fallback>
        </mc:AlternateContent>
      </w:r>
      <w:r>
        <w:br w:type="page"/>
      </w:r>
    </w:p>
    <w:p w14:paraId="11ADF4FE" w14:textId="77777777" w:rsidR="00D21B74" w:rsidRDefault="00D21B74"/>
    <w:p w14:paraId="599C766F" w14:textId="77777777" w:rsidR="001B695E" w:rsidRPr="00690F98" w:rsidRDefault="00EC757A">
      <w:pPr>
        <w:rPr>
          <w:rFonts w:ascii="Gill Sans MT" w:hAnsi="Gill Sans MT"/>
          <w:b/>
          <w:sz w:val="26"/>
          <w:szCs w:val="26"/>
          <w:u w:val="single"/>
        </w:rPr>
      </w:pPr>
      <w:r w:rsidRPr="00690F98">
        <w:rPr>
          <w:rFonts w:ascii="Gill Sans MT" w:hAnsi="Gill Sans MT"/>
          <w:b/>
          <w:sz w:val="26"/>
          <w:szCs w:val="26"/>
          <w:u w:val="single"/>
        </w:rPr>
        <w:t>Ficha Técnica</w:t>
      </w:r>
    </w:p>
    <w:p w14:paraId="62786912" w14:textId="77777777" w:rsidR="00EC757A" w:rsidRPr="00690F98" w:rsidRDefault="00EC757A" w:rsidP="00EC757A">
      <w:pPr>
        <w:rPr>
          <w:rFonts w:ascii="Gill Sans MT" w:hAnsi="Gill Sans MT"/>
          <w:b/>
          <w:sz w:val="26"/>
          <w:szCs w:val="26"/>
        </w:rPr>
      </w:pPr>
      <w:r w:rsidRPr="00690F98">
        <w:rPr>
          <w:rFonts w:ascii="Gill Sans MT" w:hAnsi="Gill Sans MT"/>
          <w:b/>
          <w:sz w:val="26"/>
          <w:szCs w:val="26"/>
        </w:rPr>
        <w:t>Ministério das Finanças</w:t>
      </w:r>
    </w:p>
    <w:p w14:paraId="4063D532" w14:textId="77777777" w:rsidR="006C27B1" w:rsidRPr="00690F98" w:rsidRDefault="006C27B1" w:rsidP="00EC757A">
      <w:pPr>
        <w:rPr>
          <w:rFonts w:ascii="Gill Sans MT" w:hAnsi="Gill Sans MT"/>
          <w:b/>
        </w:rPr>
      </w:pPr>
    </w:p>
    <w:p w14:paraId="50F6AA17" w14:textId="77777777" w:rsidR="00EC757A" w:rsidRPr="00690F98" w:rsidRDefault="00EC757A" w:rsidP="00EC757A">
      <w:pPr>
        <w:rPr>
          <w:rFonts w:ascii="Gill Sans MT" w:hAnsi="Gill Sans MT"/>
          <w:b/>
        </w:rPr>
      </w:pPr>
      <w:r w:rsidRPr="00690F98">
        <w:rPr>
          <w:rFonts w:ascii="Gill Sans MT" w:hAnsi="Gill Sans MT"/>
          <w:b/>
        </w:rPr>
        <w:t>Direção Nacional do Planeamento</w:t>
      </w:r>
    </w:p>
    <w:p w14:paraId="21E826C6" w14:textId="77777777" w:rsidR="00563D99" w:rsidRPr="00563D99" w:rsidRDefault="00563D99" w:rsidP="00563D99">
      <w:pPr>
        <w:rPr>
          <w:rFonts w:ascii="Gill Sans MT" w:hAnsi="Gill Sans MT"/>
          <w:i/>
          <w:sz w:val="20"/>
          <w:szCs w:val="20"/>
        </w:rPr>
      </w:pPr>
      <w:r w:rsidRPr="00563D99">
        <w:rPr>
          <w:rFonts w:ascii="Gill Sans MT" w:hAnsi="Gill Sans MT"/>
          <w:i/>
          <w:sz w:val="20"/>
          <w:szCs w:val="20"/>
        </w:rPr>
        <w:t>Serviço de Prospetiva, Acompanhamento Macroeconómico e Estatísticas</w:t>
      </w:r>
    </w:p>
    <w:p w14:paraId="62243B6A" w14:textId="77777777" w:rsidR="006C27B1" w:rsidRPr="00690F98" w:rsidRDefault="006C27B1" w:rsidP="006C27B1">
      <w:pPr>
        <w:rPr>
          <w:rFonts w:ascii="Gill Sans MT" w:hAnsi="Gill Sans MT"/>
          <w:b/>
        </w:rPr>
      </w:pPr>
    </w:p>
    <w:p w14:paraId="23084845" w14:textId="77777777" w:rsidR="006C27B1" w:rsidRPr="00690F98" w:rsidRDefault="005E0247" w:rsidP="006C27B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Dire</w:t>
      </w:r>
      <w:r w:rsidR="002469BE">
        <w:rPr>
          <w:rFonts w:ascii="Gill Sans MT" w:hAnsi="Gill Sans MT"/>
          <w:b/>
        </w:rPr>
        <w:t>tor</w:t>
      </w:r>
      <w:r w:rsidR="006C27B1" w:rsidRPr="00690F98">
        <w:rPr>
          <w:rFonts w:ascii="Gill Sans MT" w:hAnsi="Gill Sans MT"/>
          <w:b/>
        </w:rPr>
        <w:t xml:space="preserve"> Nacional</w:t>
      </w:r>
    </w:p>
    <w:p w14:paraId="0FC95516" w14:textId="23A97395" w:rsidR="006C27B1" w:rsidRPr="00690F98" w:rsidRDefault="008346DF" w:rsidP="006C27B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Gilson Pina</w:t>
      </w:r>
      <w:r w:rsidR="004239AB">
        <w:rPr>
          <w:rFonts w:ascii="Gill Sans MT" w:hAnsi="Gill Sans MT"/>
          <w:sz w:val="20"/>
          <w:szCs w:val="20"/>
        </w:rPr>
        <w:t>, Ph</w:t>
      </w:r>
      <w:r w:rsidR="00107F81">
        <w:rPr>
          <w:rFonts w:ascii="Gill Sans MT" w:hAnsi="Gill Sans MT"/>
          <w:sz w:val="20"/>
          <w:szCs w:val="20"/>
        </w:rPr>
        <w:t>D</w:t>
      </w:r>
    </w:p>
    <w:p w14:paraId="39D1F48D" w14:textId="77777777" w:rsidR="006C27B1" w:rsidRPr="00690F98" w:rsidRDefault="005E0247" w:rsidP="006C27B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Dire</w:t>
      </w:r>
      <w:r w:rsidR="006C27B1" w:rsidRPr="00690F98">
        <w:rPr>
          <w:rFonts w:ascii="Gill Sans MT" w:hAnsi="Gill Sans MT"/>
          <w:b/>
        </w:rPr>
        <w:t>tor de Serviço:</w:t>
      </w:r>
    </w:p>
    <w:p w14:paraId="469F8A9B" w14:textId="7CD91227" w:rsidR="006C27B1" w:rsidRPr="00690F98" w:rsidRDefault="00E15D0D" w:rsidP="006C27B1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Jailson Oliveira</w:t>
      </w:r>
      <w:r w:rsidR="004239AB">
        <w:rPr>
          <w:rFonts w:ascii="Gill Sans MT" w:hAnsi="Gill Sans MT"/>
          <w:sz w:val="20"/>
          <w:szCs w:val="20"/>
        </w:rPr>
        <w:t>, PhD</w:t>
      </w:r>
    </w:p>
    <w:p w14:paraId="71953DCA" w14:textId="77777777" w:rsidR="006C27B1" w:rsidRPr="00690F98" w:rsidRDefault="006C27B1" w:rsidP="006C27B1">
      <w:pPr>
        <w:rPr>
          <w:rFonts w:ascii="Gill Sans MT" w:hAnsi="Gill Sans MT"/>
          <w:b/>
        </w:rPr>
      </w:pPr>
      <w:r w:rsidRPr="00690F98">
        <w:rPr>
          <w:rFonts w:ascii="Gill Sans MT" w:hAnsi="Gill Sans MT"/>
          <w:b/>
        </w:rPr>
        <w:t>Técnicos:</w:t>
      </w:r>
    </w:p>
    <w:p w14:paraId="1E42B0A2" w14:textId="77777777" w:rsidR="00734D71" w:rsidRPr="00690F98" w:rsidRDefault="00734D71" w:rsidP="00734D71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Carlos José Bentub</w:t>
      </w:r>
    </w:p>
    <w:p w14:paraId="7F7EEF92" w14:textId="77777777" w:rsidR="00734D71" w:rsidRDefault="00734D71" w:rsidP="00734D71">
      <w:pPr>
        <w:rPr>
          <w:rFonts w:ascii="Gill Sans MT" w:hAnsi="Gill Sans MT"/>
          <w:sz w:val="20"/>
          <w:szCs w:val="20"/>
        </w:rPr>
      </w:pPr>
      <w:r w:rsidRPr="0068149D">
        <w:rPr>
          <w:rFonts w:ascii="Gill Sans MT" w:hAnsi="Gill Sans MT"/>
          <w:sz w:val="20"/>
          <w:szCs w:val="20"/>
        </w:rPr>
        <w:t>Edmilson da Silva Lopes</w:t>
      </w:r>
      <w:r>
        <w:rPr>
          <w:rFonts w:ascii="Gill Sans MT" w:hAnsi="Gill Sans MT"/>
          <w:sz w:val="20"/>
          <w:szCs w:val="20"/>
        </w:rPr>
        <w:t xml:space="preserve"> </w:t>
      </w:r>
    </w:p>
    <w:p w14:paraId="43B9A122" w14:textId="77777777" w:rsidR="00734D71" w:rsidRDefault="00734D71" w:rsidP="00734D71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José Félix Delgado</w:t>
      </w:r>
    </w:p>
    <w:p w14:paraId="6FC49D5B" w14:textId="77777777" w:rsidR="001B695E" w:rsidRPr="00690F98" w:rsidRDefault="001B695E">
      <w:pPr>
        <w:rPr>
          <w:rFonts w:ascii="Gill Sans MT" w:hAnsi="Gill Sans MT"/>
        </w:rPr>
      </w:pPr>
    </w:p>
    <w:p w14:paraId="64D5A6A4" w14:textId="77777777" w:rsidR="001B695E" w:rsidRPr="00690F98" w:rsidRDefault="006C27B1">
      <w:pPr>
        <w:rPr>
          <w:rFonts w:ascii="Gill Sans MT" w:hAnsi="Gill Sans MT"/>
          <w:b/>
          <w:sz w:val="26"/>
          <w:szCs w:val="26"/>
          <w:u w:val="single"/>
        </w:rPr>
      </w:pPr>
      <w:r w:rsidRPr="00690F98">
        <w:rPr>
          <w:rFonts w:ascii="Gill Sans MT" w:hAnsi="Gill Sans MT"/>
          <w:b/>
          <w:sz w:val="26"/>
          <w:szCs w:val="26"/>
          <w:u w:val="single"/>
        </w:rPr>
        <w:t>Editor</w:t>
      </w:r>
    </w:p>
    <w:p w14:paraId="7366C1B5" w14:textId="77777777" w:rsidR="006C27B1" w:rsidRPr="00690F98" w:rsidRDefault="006C27B1" w:rsidP="006C27B1">
      <w:pPr>
        <w:rPr>
          <w:rFonts w:ascii="Gill Sans MT" w:hAnsi="Gill Sans MT"/>
          <w:b/>
          <w:sz w:val="26"/>
          <w:szCs w:val="26"/>
        </w:rPr>
      </w:pPr>
      <w:r w:rsidRPr="00690F98">
        <w:rPr>
          <w:rFonts w:ascii="Gill Sans MT" w:hAnsi="Gill Sans MT"/>
          <w:b/>
          <w:sz w:val="26"/>
          <w:szCs w:val="26"/>
        </w:rPr>
        <w:t>Ministério das Finanças</w:t>
      </w:r>
    </w:p>
    <w:p w14:paraId="48223EAE" w14:textId="77777777" w:rsidR="00563D99" w:rsidRPr="00563D99" w:rsidRDefault="00563D99" w:rsidP="00563D99">
      <w:pPr>
        <w:rPr>
          <w:rFonts w:ascii="Gill Sans MT" w:hAnsi="Gill Sans MT"/>
          <w:i/>
          <w:sz w:val="20"/>
          <w:szCs w:val="20"/>
        </w:rPr>
      </w:pPr>
      <w:r w:rsidRPr="00563D99">
        <w:rPr>
          <w:rFonts w:ascii="Gill Sans MT" w:hAnsi="Gill Sans MT"/>
          <w:i/>
          <w:sz w:val="20"/>
          <w:szCs w:val="20"/>
        </w:rPr>
        <w:t>Serviço de Prospetiva, Acompanhamento Macroeconómico e Estatísticas</w:t>
      </w:r>
    </w:p>
    <w:p w14:paraId="64CB71D9" w14:textId="77777777" w:rsidR="006C27B1" w:rsidRPr="00690F98" w:rsidRDefault="006C27B1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Avenida Amílcar Cabral, CP 30 – Praia</w:t>
      </w:r>
    </w:p>
    <w:p w14:paraId="6BDB8D76" w14:textId="77777777" w:rsidR="006C27B1" w:rsidRPr="00690F98" w:rsidRDefault="006C27B1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Tel. +238 260 7529</w:t>
      </w:r>
    </w:p>
    <w:p w14:paraId="60CEDCD4" w14:textId="77777777" w:rsidR="001B695E" w:rsidRPr="00690F98" w:rsidRDefault="006C27B1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 xml:space="preserve">República de Cabo Verde </w:t>
      </w:r>
    </w:p>
    <w:p w14:paraId="7AFA9FAE" w14:textId="77777777" w:rsidR="001B695E" w:rsidRPr="00690F98" w:rsidRDefault="001B695E" w:rsidP="00EC757A">
      <w:pPr>
        <w:rPr>
          <w:rFonts w:ascii="Gill Sans MT" w:hAnsi="Gill Sans MT"/>
          <w:i/>
        </w:rPr>
      </w:pPr>
      <w:r w:rsidRPr="00690F98">
        <w:rPr>
          <w:rFonts w:ascii="Gill Sans MT" w:hAnsi="Gill Sans MT"/>
        </w:rPr>
        <w:tab/>
      </w:r>
      <w:r w:rsidRPr="00690F98">
        <w:rPr>
          <w:rFonts w:ascii="Gill Sans MT" w:hAnsi="Gill Sans MT"/>
        </w:rPr>
        <w:tab/>
      </w:r>
      <w:r w:rsidRPr="00690F98">
        <w:rPr>
          <w:rFonts w:ascii="Gill Sans MT" w:hAnsi="Gill Sans MT"/>
        </w:rPr>
        <w:tab/>
      </w:r>
    </w:p>
    <w:p w14:paraId="7BCCE146" w14:textId="77777777" w:rsidR="003A051E" w:rsidRPr="00690F98" w:rsidRDefault="003A051E">
      <w:pPr>
        <w:rPr>
          <w:rFonts w:ascii="Gill Sans MT" w:hAnsi="Gill Sans MT"/>
        </w:rPr>
      </w:pPr>
    </w:p>
    <w:p w14:paraId="7DEB3F6D" w14:textId="77777777" w:rsidR="003A051E" w:rsidRPr="00690F98" w:rsidRDefault="003A051E" w:rsidP="004762B3">
      <w:pPr>
        <w:rPr>
          <w:rFonts w:ascii="Gill Sans MT" w:hAnsi="Gill Sans MT"/>
        </w:rPr>
        <w:sectPr w:rsidR="003A051E" w:rsidRPr="00690F98" w:rsidSect="002620F9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pgNumType w:fmt="upperRoman" w:start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mallCaps w:val="0"/>
          <w:noProof w:val="0"/>
          <w:sz w:val="22"/>
          <w:szCs w:val="22"/>
        </w:rPr>
        <w:id w:val="-1735929225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  <w:lang w:eastAsia="pt-PT"/>
        </w:rPr>
      </w:sdtEndPr>
      <w:sdtContent>
        <w:p w14:paraId="44ED2252" w14:textId="77777777" w:rsidR="004762B3" w:rsidRPr="00A96438" w:rsidRDefault="004762B3" w:rsidP="00C76728">
          <w:pPr>
            <w:pStyle w:val="ndice2"/>
            <w:rPr>
              <w:sz w:val="26"/>
              <w:szCs w:val="26"/>
            </w:rPr>
          </w:pPr>
          <w:r w:rsidRPr="00A96438">
            <w:rPr>
              <w:sz w:val="26"/>
              <w:szCs w:val="26"/>
            </w:rPr>
            <w:t>Índice</w:t>
          </w:r>
        </w:p>
        <w:p w14:paraId="584A8904" w14:textId="77777777" w:rsidR="004762B3" w:rsidRPr="00942951" w:rsidRDefault="004762B3" w:rsidP="00A6266B">
          <w:pPr>
            <w:pStyle w:val="Cabealhodondice"/>
            <w:rPr>
              <w:rFonts w:ascii="Gill Sans MT" w:hAnsi="Gill Sans MT"/>
              <w:b/>
              <w:sz w:val="24"/>
              <w:szCs w:val="24"/>
            </w:rPr>
          </w:pPr>
        </w:p>
        <w:p w14:paraId="49E7F7D6" w14:textId="7ADF29B2" w:rsidR="008C6378" w:rsidRDefault="004762B3">
          <w:pPr>
            <w:pStyle w:val="ndice2"/>
            <w:rPr>
              <w:rFonts w:asciiTheme="minorHAnsi" w:eastAsiaTheme="minorEastAsia" w:hAnsiTheme="minorHAnsi"/>
              <w:b w:val="0"/>
              <w:smallCaps w:val="0"/>
              <w:sz w:val="22"/>
              <w:szCs w:val="22"/>
              <w:lang w:eastAsia="pt-PT"/>
            </w:rPr>
          </w:pPr>
          <w:r w:rsidRPr="00942951">
            <w:rPr>
              <w:rFonts w:eastAsia="Times New Roman" w:cs="Times New Roman"/>
              <w:lang w:eastAsia="pt-PT"/>
            </w:rPr>
            <w:fldChar w:fldCharType="begin"/>
          </w:r>
          <w:r w:rsidRPr="00942951">
            <w:rPr>
              <w:rFonts w:eastAsia="Times New Roman" w:cs="Times New Roman"/>
              <w:lang w:eastAsia="pt-PT"/>
            </w:rPr>
            <w:instrText xml:space="preserve"> TOC \o "1-3" \h \z \u </w:instrText>
          </w:r>
          <w:r w:rsidRPr="00942951">
            <w:rPr>
              <w:rFonts w:eastAsia="Times New Roman" w:cs="Times New Roman"/>
              <w:lang w:eastAsia="pt-PT"/>
            </w:rPr>
            <w:fldChar w:fldCharType="separate"/>
          </w:r>
          <w:hyperlink w:anchor="_Toc65659053" w:history="1">
            <w:r w:rsidR="008C6378" w:rsidRPr="0076384F">
              <w:rPr>
                <w:rStyle w:val="Hiperligao"/>
              </w:rPr>
              <w:t>I.</w:t>
            </w:r>
            <w:r w:rsidR="008C6378">
              <w:rPr>
                <w:rFonts w:asciiTheme="minorHAnsi" w:eastAsiaTheme="minorEastAsia" w:hAnsiTheme="minorHAnsi"/>
                <w:b w:val="0"/>
                <w:smallCaps w:val="0"/>
                <w:sz w:val="22"/>
                <w:szCs w:val="22"/>
                <w:lang w:eastAsia="pt-PT"/>
              </w:rPr>
              <w:tab/>
            </w:r>
            <w:r w:rsidR="008C6378" w:rsidRPr="0076384F">
              <w:rPr>
                <w:rStyle w:val="Hiperligao"/>
              </w:rPr>
              <w:t>Contexto Externo</w:t>
            </w:r>
            <w:r w:rsidR="008C6378">
              <w:rPr>
                <w:webHidden/>
              </w:rPr>
              <w:tab/>
            </w:r>
            <w:r w:rsidR="008C6378">
              <w:rPr>
                <w:webHidden/>
              </w:rPr>
              <w:fldChar w:fldCharType="begin"/>
            </w:r>
            <w:r w:rsidR="008C6378">
              <w:rPr>
                <w:webHidden/>
              </w:rPr>
              <w:instrText xml:space="preserve"> PAGEREF _Toc65659053 \h </w:instrText>
            </w:r>
            <w:r w:rsidR="008C6378">
              <w:rPr>
                <w:webHidden/>
              </w:rPr>
            </w:r>
            <w:r w:rsidR="008C6378">
              <w:rPr>
                <w:webHidden/>
              </w:rPr>
              <w:fldChar w:fldCharType="separate"/>
            </w:r>
            <w:r w:rsidR="008C6378">
              <w:rPr>
                <w:webHidden/>
              </w:rPr>
              <w:t>5</w:t>
            </w:r>
            <w:r w:rsidR="008C6378">
              <w:rPr>
                <w:webHidden/>
              </w:rPr>
              <w:fldChar w:fldCharType="end"/>
            </w:r>
          </w:hyperlink>
        </w:p>
        <w:p w14:paraId="631BB4D1" w14:textId="1703C995" w:rsidR="008C6378" w:rsidRDefault="000F69C2">
          <w:pPr>
            <w:pStyle w:val="ndice2"/>
            <w:rPr>
              <w:rFonts w:asciiTheme="minorHAnsi" w:eastAsiaTheme="minorEastAsia" w:hAnsiTheme="minorHAnsi"/>
              <w:b w:val="0"/>
              <w:smallCaps w:val="0"/>
              <w:sz w:val="22"/>
              <w:szCs w:val="22"/>
              <w:lang w:eastAsia="pt-PT"/>
            </w:rPr>
          </w:pPr>
          <w:hyperlink w:anchor="_Toc65659054" w:history="1">
            <w:r w:rsidR="008C6378" w:rsidRPr="0076384F">
              <w:rPr>
                <w:rStyle w:val="Hiperligao"/>
              </w:rPr>
              <w:t>II.</w:t>
            </w:r>
            <w:r w:rsidR="008C6378">
              <w:rPr>
                <w:rFonts w:asciiTheme="minorHAnsi" w:eastAsiaTheme="minorEastAsia" w:hAnsiTheme="minorHAnsi"/>
                <w:b w:val="0"/>
                <w:smallCaps w:val="0"/>
                <w:sz w:val="22"/>
                <w:szCs w:val="22"/>
                <w:lang w:eastAsia="pt-PT"/>
              </w:rPr>
              <w:tab/>
            </w:r>
            <w:r w:rsidR="008C6378" w:rsidRPr="0076384F">
              <w:rPr>
                <w:rStyle w:val="Hiperligao"/>
              </w:rPr>
              <w:t>Conjuntura Económica Nacional</w:t>
            </w:r>
            <w:r w:rsidR="008C6378">
              <w:rPr>
                <w:webHidden/>
              </w:rPr>
              <w:tab/>
            </w:r>
            <w:r w:rsidR="008C6378">
              <w:rPr>
                <w:webHidden/>
              </w:rPr>
              <w:fldChar w:fldCharType="begin"/>
            </w:r>
            <w:r w:rsidR="008C6378">
              <w:rPr>
                <w:webHidden/>
              </w:rPr>
              <w:instrText xml:space="preserve"> PAGEREF _Toc65659054 \h </w:instrText>
            </w:r>
            <w:r w:rsidR="008C6378">
              <w:rPr>
                <w:webHidden/>
              </w:rPr>
            </w:r>
            <w:r w:rsidR="008C6378">
              <w:rPr>
                <w:webHidden/>
              </w:rPr>
              <w:fldChar w:fldCharType="separate"/>
            </w:r>
            <w:r w:rsidR="008C6378">
              <w:rPr>
                <w:webHidden/>
              </w:rPr>
              <w:t>- 2 -</w:t>
            </w:r>
            <w:r w:rsidR="008C6378">
              <w:rPr>
                <w:webHidden/>
              </w:rPr>
              <w:fldChar w:fldCharType="end"/>
            </w:r>
          </w:hyperlink>
        </w:p>
        <w:p w14:paraId="38F49B3B" w14:textId="510AB818" w:rsidR="008C6378" w:rsidRDefault="000F69C2">
          <w:pPr>
            <w:pStyle w:val="ndice2"/>
            <w:rPr>
              <w:rFonts w:asciiTheme="minorHAnsi" w:eastAsiaTheme="minorEastAsia" w:hAnsiTheme="minorHAnsi"/>
              <w:b w:val="0"/>
              <w:smallCaps w:val="0"/>
              <w:sz w:val="22"/>
              <w:szCs w:val="22"/>
              <w:lang w:eastAsia="pt-PT"/>
            </w:rPr>
          </w:pPr>
          <w:hyperlink w:anchor="_Toc65659055" w:history="1">
            <w:r w:rsidR="008C6378" w:rsidRPr="0076384F">
              <w:rPr>
                <w:rStyle w:val="Hiperligao"/>
                <w:rFonts w:cs="Arial"/>
                <w:bCs/>
              </w:rPr>
              <w:t>II.1.    Setor Real</w:t>
            </w:r>
            <w:r w:rsidR="008C6378">
              <w:rPr>
                <w:webHidden/>
              </w:rPr>
              <w:tab/>
            </w:r>
            <w:r w:rsidR="008C6378">
              <w:rPr>
                <w:webHidden/>
              </w:rPr>
              <w:fldChar w:fldCharType="begin"/>
            </w:r>
            <w:r w:rsidR="008C6378">
              <w:rPr>
                <w:webHidden/>
              </w:rPr>
              <w:instrText xml:space="preserve"> PAGEREF _Toc65659055 \h </w:instrText>
            </w:r>
            <w:r w:rsidR="008C6378">
              <w:rPr>
                <w:webHidden/>
              </w:rPr>
            </w:r>
            <w:r w:rsidR="008C6378">
              <w:rPr>
                <w:webHidden/>
              </w:rPr>
              <w:fldChar w:fldCharType="separate"/>
            </w:r>
            <w:r w:rsidR="008C6378">
              <w:rPr>
                <w:webHidden/>
              </w:rPr>
              <w:t>- 2 -</w:t>
            </w:r>
            <w:r w:rsidR="008C6378">
              <w:rPr>
                <w:webHidden/>
              </w:rPr>
              <w:fldChar w:fldCharType="end"/>
            </w:r>
          </w:hyperlink>
        </w:p>
        <w:p w14:paraId="1AF3F017" w14:textId="10FEEB8A" w:rsidR="008C6378" w:rsidRDefault="000F69C2">
          <w:pPr>
            <w:pStyle w:val="ndice2"/>
            <w:rPr>
              <w:rFonts w:asciiTheme="minorHAnsi" w:eastAsiaTheme="minorEastAsia" w:hAnsiTheme="minorHAnsi"/>
              <w:b w:val="0"/>
              <w:smallCaps w:val="0"/>
              <w:sz w:val="22"/>
              <w:szCs w:val="22"/>
              <w:lang w:eastAsia="pt-PT"/>
            </w:rPr>
          </w:pPr>
          <w:hyperlink w:anchor="_Toc65659056" w:history="1">
            <w:r w:rsidR="008C6378" w:rsidRPr="0076384F">
              <w:rPr>
                <w:rStyle w:val="Hiperligao"/>
                <w:rFonts w:cs="Arial"/>
                <w:bCs/>
              </w:rPr>
              <w:t>II.2. Setor Externo</w:t>
            </w:r>
            <w:r w:rsidR="008C6378">
              <w:rPr>
                <w:webHidden/>
              </w:rPr>
              <w:tab/>
            </w:r>
            <w:r w:rsidR="008C6378">
              <w:rPr>
                <w:webHidden/>
              </w:rPr>
              <w:fldChar w:fldCharType="begin"/>
            </w:r>
            <w:r w:rsidR="008C6378">
              <w:rPr>
                <w:webHidden/>
              </w:rPr>
              <w:instrText xml:space="preserve"> PAGEREF _Toc65659056 \h </w:instrText>
            </w:r>
            <w:r w:rsidR="008C6378">
              <w:rPr>
                <w:webHidden/>
              </w:rPr>
            </w:r>
            <w:r w:rsidR="008C6378">
              <w:rPr>
                <w:webHidden/>
              </w:rPr>
              <w:fldChar w:fldCharType="separate"/>
            </w:r>
            <w:r w:rsidR="008C6378">
              <w:rPr>
                <w:webHidden/>
              </w:rPr>
              <w:t>- 5 -</w:t>
            </w:r>
            <w:r w:rsidR="008C6378">
              <w:rPr>
                <w:webHidden/>
              </w:rPr>
              <w:fldChar w:fldCharType="end"/>
            </w:r>
          </w:hyperlink>
        </w:p>
        <w:p w14:paraId="1B4E6B0A" w14:textId="07FFF4D5" w:rsidR="008C6378" w:rsidRDefault="000F69C2">
          <w:pPr>
            <w:pStyle w:val="ndice2"/>
            <w:rPr>
              <w:rFonts w:asciiTheme="minorHAnsi" w:eastAsiaTheme="minorEastAsia" w:hAnsiTheme="minorHAnsi"/>
              <w:b w:val="0"/>
              <w:smallCaps w:val="0"/>
              <w:sz w:val="22"/>
              <w:szCs w:val="22"/>
              <w:lang w:eastAsia="pt-PT"/>
            </w:rPr>
          </w:pPr>
          <w:hyperlink w:anchor="_Toc65659057" w:history="1">
            <w:r w:rsidR="008C6378" w:rsidRPr="0076384F">
              <w:rPr>
                <w:rStyle w:val="Hiperligao"/>
                <w:rFonts w:cs="Arial"/>
                <w:bCs/>
              </w:rPr>
              <w:t>II.3. Finanças Públicas</w:t>
            </w:r>
            <w:r w:rsidR="008C6378">
              <w:rPr>
                <w:webHidden/>
              </w:rPr>
              <w:tab/>
            </w:r>
            <w:r w:rsidR="008C6378">
              <w:rPr>
                <w:webHidden/>
              </w:rPr>
              <w:fldChar w:fldCharType="begin"/>
            </w:r>
            <w:r w:rsidR="008C6378">
              <w:rPr>
                <w:webHidden/>
              </w:rPr>
              <w:instrText xml:space="preserve"> PAGEREF _Toc65659057 \h </w:instrText>
            </w:r>
            <w:r w:rsidR="008C6378">
              <w:rPr>
                <w:webHidden/>
              </w:rPr>
            </w:r>
            <w:r w:rsidR="008C6378">
              <w:rPr>
                <w:webHidden/>
              </w:rPr>
              <w:fldChar w:fldCharType="separate"/>
            </w:r>
            <w:r w:rsidR="008C6378">
              <w:rPr>
                <w:webHidden/>
              </w:rPr>
              <w:t>- 8 -</w:t>
            </w:r>
            <w:r w:rsidR="008C6378">
              <w:rPr>
                <w:webHidden/>
              </w:rPr>
              <w:fldChar w:fldCharType="end"/>
            </w:r>
          </w:hyperlink>
        </w:p>
        <w:p w14:paraId="2A6D1974" w14:textId="2112ED30" w:rsidR="008C6378" w:rsidRDefault="000F69C2">
          <w:pPr>
            <w:pStyle w:val="ndice2"/>
            <w:rPr>
              <w:rFonts w:asciiTheme="minorHAnsi" w:eastAsiaTheme="minorEastAsia" w:hAnsiTheme="minorHAnsi"/>
              <w:b w:val="0"/>
              <w:smallCaps w:val="0"/>
              <w:sz w:val="22"/>
              <w:szCs w:val="22"/>
              <w:lang w:eastAsia="pt-PT"/>
            </w:rPr>
          </w:pPr>
          <w:hyperlink w:anchor="_Toc65659058" w:history="1">
            <w:r w:rsidR="008C6378" w:rsidRPr="0076384F">
              <w:rPr>
                <w:rStyle w:val="Hiperligao"/>
                <w:rFonts w:cs="Arial"/>
                <w:bCs/>
              </w:rPr>
              <w:t>II.4. Setor Monetário</w:t>
            </w:r>
            <w:r w:rsidR="008C6378">
              <w:rPr>
                <w:webHidden/>
              </w:rPr>
              <w:tab/>
            </w:r>
            <w:r w:rsidR="008C6378">
              <w:rPr>
                <w:webHidden/>
              </w:rPr>
              <w:fldChar w:fldCharType="begin"/>
            </w:r>
            <w:r w:rsidR="008C6378">
              <w:rPr>
                <w:webHidden/>
              </w:rPr>
              <w:instrText xml:space="preserve"> PAGEREF _Toc65659058 \h </w:instrText>
            </w:r>
            <w:r w:rsidR="008C6378">
              <w:rPr>
                <w:webHidden/>
              </w:rPr>
            </w:r>
            <w:r w:rsidR="008C6378">
              <w:rPr>
                <w:webHidden/>
              </w:rPr>
              <w:fldChar w:fldCharType="separate"/>
            </w:r>
            <w:r w:rsidR="008C6378">
              <w:rPr>
                <w:webHidden/>
              </w:rPr>
              <w:t>- 12 -</w:t>
            </w:r>
            <w:r w:rsidR="008C6378">
              <w:rPr>
                <w:webHidden/>
              </w:rPr>
              <w:fldChar w:fldCharType="end"/>
            </w:r>
          </w:hyperlink>
        </w:p>
        <w:p w14:paraId="27B52033" w14:textId="1CB43F2A" w:rsidR="004762B3" w:rsidRPr="007E4989" w:rsidRDefault="004762B3" w:rsidP="001E0051">
          <w:pPr>
            <w:spacing w:line="360" w:lineRule="auto"/>
            <w:rPr>
              <w:rFonts w:ascii="Gill Sans MT" w:eastAsia="Times New Roman" w:hAnsi="Gill Sans MT" w:cs="Times New Roman"/>
              <w:sz w:val="24"/>
              <w:szCs w:val="24"/>
              <w:lang w:eastAsia="pt-PT"/>
            </w:rPr>
          </w:pPr>
          <w:r w:rsidRPr="00942951">
            <w:rPr>
              <w:rFonts w:ascii="Gill Sans MT" w:eastAsia="Times New Roman" w:hAnsi="Gill Sans MT" w:cs="Times New Roman"/>
              <w:b/>
              <w:sz w:val="20"/>
              <w:szCs w:val="20"/>
              <w:lang w:eastAsia="pt-PT"/>
            </w:rPr>
            <w:fldChar w:fldCharType="end"/>
          </w:r>
        </w:p>
      </w:sdtContent>
    </w:sdt>
    <w:p w14:paraId="6AA0FF0B" w14:textId="77777777" w:rsidR="00EC6005" w:rsidRPr="00690F98" w:rsidRDefault="00EC6005" w:rsidP="00A6266B">
      <w:pPr>
        <w:rPr>
          <w:rFonts w:ascii="Gill Sans MT" w:hAnsi="Gill Sans MT"/>
        </w:rPr>
      </w:pPr>
    </w:p>
    <w:p w14:paraId="3D6543E1" w14:textId="77777777" w:rsidR="0060519E" w:rsidRPr="00690F98" w:rsidRDefault="00742E81" w:rsidP="00A6266B">
      <w:pPr>
        <w:tabs>
          <w:tab w:val="left" w:pos="480"/>
          <w:tab w:val="right" w:leader="dot" w:pos="8779"/>
        </w:tabs>
        <w:spacing w:after="100" w:line="240" w:lineRule="auto"/>
        <w:rPr>
          <w:rFonts w:ascii="Gill Sans MT" w:hAnsi="Gill Sans MT"/>
          <w:b/>
          <w:smallCaps/>
          <w:webHidden/>
          <w:sz w:val="26"/>
          <w:szCs w:val="26"/>
        </w:rPr>
      </w:pPr>
      <w:r w:rsidRPr="00690F98">
        <w:rPr>
          <w:rFonts w:ascii="Gill Sans MT" w:hAnsi="Gill Sans MT"/>
          <w:b/>
          <w:smallCaps/>
          <w:sz w:val="28"/>
          <w:szCs w:val="28"/>
        </w:rPr>
        <w:t xml:space="preserve">   </w:t>
      </w:r>
      <w:r w:rsidR="0060519E" w:rsidRPr="00690F98">
        <w:rPr>
          <w:rFonts w:ascii="Gill Sans MT" w:hAnsi="Gill Sans MT"/>
          <w:b/>
          <w:smallCaps/>
          <w:sz w:val="26"/>
          <w:szCs w:val="26"/>
        </w:rPr>
        <w:t>Tabelas</w:t>
      </w:r>
    </w:p>
    <w:p w14:paraId="70E9E461" w14:textId="77777777" w:rsidR="00CD39BF" w:rsidRDefault="00CD39BF" w:rsidP="00CD39BF">
      <w:pPr>
        <w:tabs>
          <w:tab w:val="left" w:pos="480"/>
          <w:tab w:val="right" w:leader="dot" w:pos="8779"/>
        </w:tabs>
        <w:spacing w:after="100" w:afterAutospacing="1" w:line="24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</w:p>
    <w:p w14:paraId="57EB4EAE" w14:textId="6554AB38" w:rsidR="00CD39BF" w:rsidRPr="00CD39BF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Tabela </w:t>
      </w:r>
      <w:r w:rsidR="00D946D4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1    </w:t>
      </w:r>
      <w:r w:rsidR="00D946D4"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2E00DD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Perspetiva para a Economia Mundial</w:t>
      </w:r>
    </w:p>
    <w:p w14:paraId="79364359" w14:textId="1FF734AD" w:rsidR="00CD39BF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Tabela </w:t>
      </w:r>
      <w:r w:rsidR="00D946D4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2     </w:t>
      </w:r>
      <w:r w:rsidR="00042BE4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Movimentação de Passageiros</w:t>
      </w: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</w:p>
    <w:p w14:paraId="7F68C6F1" w14:textId="57257117" w:rsidR="002E00DD" w:rsidRPr="00CD39BF" w:rsidRDefault="002E00DD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Tabela 3     Evolução das</w:t>
      </w:r>
      <w:r w:rsidR="00E2180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Despesas por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Funções do Estado</w:t>
      </w:r>
    </w:p>
    <w:p w14:paraId="31C29AE1" w14:textId="77777777" w:rsidR="002442C8" w:rsidRPr="00CD39BF" w:rsidRDefault="002442C8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</w:p>
    <w:p w14:paraId="11BC72CC" w14:textId="77777777" w:rsidR="0060519E" w:rsidRPr="00690F98" w:rsidRDefault="0060519E" w:rsidP="00A6266B">
      <w:pPr>
        <w:tabs>
          <w:tab w:val="left" w:pos="480"/>
          <w:tab w:val="right" w:leader="dot" w:pos="8779"/>
        </w:tabs>
        <w:spacing w:after="100" w:line="240" w:lineRule="auto"/>
        <w:rPr>
          <w:rFonts w:ascii="Gill Sans MT" w:eastAsia="Times New Roman" w:hAnsi="Gill Sans MT" w:cs="Arial"/>
          <w:b/>
          <w:bCs/>
          <w:noProof/>
          <w:sz w:val="24"/>
          <w:szCs w:val="24"/>
          <w:lang w:eastAsia="pt-PT"/>
        </w:rPr>
      </w:pPr>
    </w:p>
    <w:p w14:paraId="058CB369" w14:textId="77777777" w:rsidR="0060519E" w:rsidRPr="00690F98" w:rsidRDefault="00742E81" w:rsidP="00A6266B">
      <w:pPr>
        <w:tabs>
          <w:tab w:val="left" w:pos="480"/>
          <w:tab w:val="right" w:leader="dot" w:pos="8779"/>
        </w:tabs>
        <w:spacing w:after="100" w:line="240" w:lineRule="auto"/>
        <w:rPr>
          <w:rFonts w:ascii="Gill Sans MT" w:hAnsi="Gill Sans MT"/>
          <w:b/>
          <w:smallCaps/>
          <w:webHidden/>
          <w:sz w:val="26"/>
          <w:szCs w:val="26"/>
        </w:rPr>
      </w:pPr>
      <w:r w:rsidRPr="00690F98">
        <w:rPr>
          <w:rFonts w:ascii="Gill Sans MT" w:hAnsi="Gill Sans MT"/>
          <w:b/>
          <w:smallCaps/>
          <w:sz w:val="26"/>
          <w:szCs w:val="26"/>
        </w:rPr>
        <w:t xml:space="preserve">   </w:t>
      </w:r>
      <w:r w:rsidR="0060519E" w:rsidRPr="00690F98">
        <w:rPr>
          <w:rFonts w:ascii="Gill Sans MT" w:hAnsi="Gill Sans MT"/>
          <w:b/>
          <w:smallCaps/>
          <w:sz w:val="26"/>
          <w:szCs w:val="26"/>
        </w:rPr>
        <w:t>Gráficos</w:t>
      </w:r>
    </w:p>
    <w:p w14:paraId="01CB7893" w14:textId="77777777" w:rsidR="00CD39BF" w:rsidRDefault="00CD39BF" w:rsidP="00CD39BF">
      <w:pPr>
        <w:tabs>
          <w:tab w:val="left" w:pos="480"/>
          <w:tab w:val="right" w:leader="dot" w:pos="8779"/>
        </w:tabs>
        <w:spacing w:after="100" w:line="24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</w:p>
    <w:p w14:paraId="43EFD3E0" w14:textId="0120CBB3" w:rsidR="00CD39BF" w:rsidRDefault="00B10761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</w:t>
      </w:r>
      <w:r w:rsidR="00D946D4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1</w:t>
      </w:r>
      <w:r w:rsidR="00D946D4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  </w:t>
      </w:r>
      <w:r w:rsidR="00CD39BF"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do Indicador de Sentimento Económico (EU e EA)</w:t>
      </w:r>
    </w:p>
    <w:p w14:paraId="5301F0CE" w14:textId="387D38D6" w:rsidR="00874BB3" w:rsidRDefault="00874BB3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2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  </w:t>
      </w: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Evolução 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da Taxa de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Inflação e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Desemprego</w:t>
      </w: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</w:p>
    <w:p w14:paraId="62A000FB" w14:textId="16942D0A" w:rsidR="00CD39BF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3</w:t>
      </w:r>
      <w:r w:rsidR="00E6271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 </w:t>
      </w: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Evolução do Índice de Preços de Combustíveis </w:t>
      </w:r>
    </w:p>
    <w:p w14:paraId="2F527766" w14:textId="4B9CE488" w:rsidR="00B31A45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sz w:val="20"/>
          <w:szCs w:val="20"/>
          <w:lang w:eastAsia="pt-PT"/>
        </w:rPr>
      </w:pP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5</w:t>
      </w:r>
      <w:r w:rsidR="00CA2BFB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 </w:t>
      </w:r>
      <w:r w:rsidR="00874BB3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do Índice de Preços de Produtos Alimentares</w:t>
      </w:r>
      <w:r w:rsidR="004D5612">
        <w:rPr>
          <w:rFonts w:ascii="Gill Sans MT" w:eastAsia="Times New Roman" w:hAnsi="Gill Sans MT" w:cs="Times New Roman"/>
          <w:sz w:val="20"/>
          <w:szCs w:val="20"/>
          <w:lang w:eastAsia="pt-PT"/>
        </w:rPr>
        <w:t xml:space="preserve">   </w:t>
      </w:r>
    </w:p>
    <w:p w14:paraId="09BB5235" w14:textId="09AECA40" w:rsidR="00CD39BF" w:rsidRPr="00CD39BF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5</w:t>
      </w:r>
      <w:r w:rsidR="00CA2BFB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CA2BFB"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CA2BFB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36769B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PIB Real na Ótica da Oferta</w:t>
      </w:r>
    </w:p>
    <w:p w14:paraId="724D8009" w14:textId="40B35F06" w:rsidR="00CD39BF" w:rsidRPr="00CD39BF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6</w:t>
      </w:r>
      <w:r w:rsidR="00CA2BFB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  </w:t>
      </w:r>
      <w:r w:rsidR="00DA62F6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PIB Real na Ótica da Demanda</w:t>
      </w:r>
    </w:p>
    <w:p w14:paraId="056F1985" w14:textId="27BA17B4" w:rsidR="00CD39BF" w:rsidRDefault="00CD39BF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 w:rsidRPr="00CD39BF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7</w:t>
      </w:r>
      <w:r w:rsidR="00874BB3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B07870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Indicador de Clima Económico e Confiança no Consumidor</w:t>
      </w:r>
      <w:r w:rsidR="00AA6744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(VE-MM3)</w:t>
      </w:r>
    </w:p>
    <w:p w14:paraId="1232BBF7" w14:textId="5103A7DF" w:rsidR="00522C99" w:rsidRDefault="00522C99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8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</w:t>
      </w:r>
      <w:r w:rsidR="00986BB7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as Taxas de Inflação</w:t>
      </w:r>
    </w:p>
    <w:p w14:paraId="3F61B27F" w14:textId="2DA0CD16" w:rsidR="00BF1747" w:rsidRPr="00CD39BF" w:rsidRDefault="00BF1747" w:rsidP="00CD39BF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9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2E745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do Comércio Externo (Em Milhões de CVE)</w:t>
      </w:r>
    </w:p>
    <w:p w14:paraId="22097BB8" w14:textId="05FFDA83" w:rsidR="00BF1747" w:rsidRDefault="00BF1747" w:rsidP="0077156E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0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2E745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do índice de Preço do Comércio Externo</w:t>
      </w:r>
    </w:p>
    <w:p w14:paraId="353B9B9F" w14:textId="61715486" w:rsidR="00EA301D" w:rsidRDefault="00EA301D" w:rsidP="00EA301D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1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Evolução da Taxa de Câmbio</w:t>
      </w:r>
    </w:p>
    <w:p w14:paraId="60DC038E" w14:textId="5CD7996F" w:rsidR="00BF1747" w:rsidRDefault="00877B7C" w:rsidP="0077156E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2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77156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do Saldo Global</w:t>
      </w:r>
      <w:r w:rsidR="00EA27BE" w:rsidDel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</w:p>
    <w:p w14:paraId="58120484" w14:textId="02CFC628" w:rsidR="00F16D62" w:rsidRDefault="00F16D62" w:rsidP="00F16D62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3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</w:t>
      </w:r>
      <w:r w:rsidR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Contribuição para o Crescimento da Receita Total e dos Impostos</w:t>
      </w:r>
      <w:r w:rsidR="00EA27BE" w:rsidDel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</w:p>
    <w:p w14:paraId="738143E3" w14:textId="45825458" w:rsidR="00C558A4" w:rsidRDefault="00926D3C" w:rsidP="0077156E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4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2E745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Contribuição para o Crescimento da Despesa</w:t>
      </w:r>
      <w:r w:rsidR="00EA27BE" w:rsidDel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</w:p>
    <w:p w14:paraId="327F1EB7" w14:textId="2611BEB6" w:rsidR="00EA27BE" w:rsidRDefault="00926D3C" w:rsidP="0077156E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5</w:t>
      </w:r>
      <w:r w:rsidR="005864D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77156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da Dívida Pública</w:t>
      </w:r>
    </w:p>
    <w:p w14:paraId="0F5A9CCE" w14:textId="5CB61B29" w:rsidR="00926D3C" w:rsidRDefault="00926D3C" w:rsidP="0077156E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Gráfico 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6</w:t>
      </w:r>
      <w:r w:rsidR="00B24463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</w:t>
      </w:r>
      <w:r w:rsidR="0077156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</w:t>
      </w:r>
      <w:r w:rsidR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dos Indicadores Monetários e Financeiros</w:t>
      </w:r>
    </w:p>
    <w:p w14:paraId="44A0D147" w14:textId="195A2A47" w:rsidR="000B1870" w:rsidRDefault="000B1870" w:rsidP="000B1870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Gráfico </w:t>
      </w:r>
      <w:r w:rsidR="00F00162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1</w:t>
      </w:r>
      <w:r w:rsidR="0082764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7</w:t>
      </w:r>
      <w:r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 xml:space="preserve">   </w:t>
      </w:r>
      <w:r w:rsidR="00EA27BE">
        <w:rPr>
          <w:rFonts w:ascii="Gill Sans MT" w:eastAsia="Times New Roman" w:hAnsi="Gill Sans MT" w:cs="Times New Roman"/>
          <w:bCs/>
          <w:sz w:val="20"/>
          <w:szCs w:val="20"/>
          <w:lang w:eastAsia="pt-PT"/>
        </w:rPr>
        <w:t>Evolução das Taxas de Juros Ativas e Passivas</w:t>
      </w:r>
    </w:p>
    <w:p w14:paraId="5462854E" w14:textId="77777777" w:rsidR="000B1870" w:rsidRDefault="000B1870" w:rsidP="0077156E">
      <w:pPr>
        <w:tabs>
          <w:tab w:val="left" w:pos="480"/>
          <w:tab w:val="right" w:leader="dot" w:pos="8779"/>
        </w:tabs>
        <w:spacing w:after="0" w:line="360" w:lineRule="auto"/>
        <w:rPr>
          <w:rFonts w:ascii="Gill Sans MT" w:eastAsia="Times New Roman" w:hAnsi="Gill Sans MT" w:cs="Times New Roman"/>
          <w:bCs/>
          <w:sz w:val="20"/>
          <w:szCs w:val="20"/>
          <w:lang w:eastAsia="pt-PT"/>
        </w:rPr>
      </w:pPr>
    </w:p>
    <w:p w14:paraId="04380D7E" w14:textId="41A83E61" w:rsidR="00563D99" w:rsidRDefault="00563D99" w:rsidP="007405D3">
      <w:pPr>
        <w:rPr>
          <w:rFonts w:ascii="Gill Sans MT" w:hAnsi="Gill Sans MT"/>
          <w:b/>
          <w:sz w:val="26"/>
          <w:szCs w:val="26"/>
        </w:rPr>
      </w:pPr>
    </w:p>
    <w:p w14:paraId="6E6DDEE2" w14:textId="77777777" w:rsidR="00F158C0" w:rsidRDefault="00F158C0" w:rsidP="007405D3">
      <w:pPr>
        <w:rPr>
          <w:rFonts w:ascii="Gill Sans MT" w:hAnsi="Gill Sans MT"/>
          <w:b/>
          <w:sz w:val="26"/>
          <w:szCs w:val="26"/>
        </w:rPr>
      </w:pPr>
    </w:p>
    <w:p w14:paraId="756A5BB2" w14:textId="77777777" w:rsidR="00685102" w:rsidRPr="007405D3" w:rsidRDefault="00685102" w:rsidP="007405D3">
      <w:pPr>
        <w:rPr>
          <w:rFonts w:ascii="Gill Sans MT" w:hAnsi="Gill Sans MT"/>
          <w:b/>
          <w:sz w:val="26"/>
          <w:szCs w:val="26"/>
        </w:rPr>
      </w:pPr>
      <w:r w:rsidRPr="007405D3">
        <w:rPr>
          <w:rFonts w:ascii="Gill Sans MT" w:hAnsi="Gill Sans MT"/>
          <w:b/>
          <w:sz w:val="26"/>
          <w:szCs w:val="26"/>
        </w:rPr>
        <w:lastRenderedPageBreak/>
        <w:t xml:space="preserve">Lista </w:t>
      </w:r>
      <w:r w:rsidR="00EC757A" w:rsidRPr="007405D3">
        <w:rPr>
          <w:rFonts w:ascii="Gill Sans MT" w:hAnsi="Gill Sans MT"/>
          <w:b/>
          <w:sz w:val="26"/>
          <w:szCs w:val="26"/>
        </w:rPr>
        <w:t>Siglas e</w:t>
      </w:r>
      <w:r w:rsidRPr="007405D3">
        <w:rPr>
          <w:rFonts w:ascii="Gill Sans MT" w:hAnsi="Gill Sans MT"/>
          <w:b/>
          <w:sz w:val="26"/>
          <w:szCs w:val="26"/>
        </w:rPr>
        <w:t xml:space="preserve"> Abreviaturas</w:t>
      </w:r>
    </w:p>
    <w:p w14:paraId="0C4CB7B6" w14:textId="77777777" w:rsidR="00685102" w:rsidRPr="00690F98" w:rsidRDefault="00685102" w:rsidP="00A6266B">
      <w:pPr>
        <w:rPr>
          <w:rFonts w:ascii="Gill Sans MT" w:hAnsi="Gill Sans MT"/>
        </w:rPr>
      </w:pPr>
    </w:p>
    <w:p w14:paraId="76307C88" w14:textId="77777777" w:rsidR="00691C1A" w:rsidRPr="00690F98" w:rsidRDefault="00691C1A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BCE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 xml:space="preserve">Banco Central Europeu </w:t>
      </w:r>
    </w:p>
    <w:p w14:paraId="3D266F2F" w14:textId="77777777" w:rsidR="00691C1A" w:rsidRPr="00690F98" w:rsidRDefault="00691C1A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BCV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>Banco de Cabo Verde</w:t>
      </w:r>
    </w:p>
    <w:p w14:paraId="068428A2" w14:textId="77777777" w:rsidR="00C70056" w:rsidRPr="00690F98" w:rsidRDefault="00C70056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DGA</w:t>
      </w:r>
      <w:r w:rsidR="00B80399" w:rsidRPr="00690F98">
        <w:rPr>
          <w:rFonts w:ascii="Gill Sans MT" w:hAnsi="Gill Sans MT"/>
          <w:sz w:val="20"/>
          <w:szCs w:val="20"/>
        </w:rPr>
        <w:t>LF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>Direção Geral das Alfândegas</w:t>
      </w:r>
    </w:p>
    <w:p w14:paraId="17177811" w14:textId="77777777" w:rsidR="00C70056" w:rsidRPr="00690F98" w:rsidRDefault="00C70056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DNP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>Direção Nacional de Planeamento</w:t>
      </w:r>
    </w:p>
    <w:p w14:paraId="7A65D3E7" w14:textId="77777777" w:rsidR="00691C1A" w:rsidRPr="00690F98" w:rsidRDefault="00691C1A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EA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 xml:space="preserve">Euro Area </w:t>
      </w:r>
    </w:p>
    <w:p w14:paraId="2F7F39CF" w14:textId="77777777" w:rsidR="00C70056" w:rsidRPr="00690F98" w:rsidRDefault="00C70056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EU/UE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 xml:space="preserve">União Europeia </w:t>
      </w:r>
      <w:r w:rsidRPr="00690F98">
        <w:rPr>
          <w:rFonts w:ascii="Gill Sans MT" w:hAnsi="Gill Sans MT"/>
          <w:sz w:val="20"/>
          <w:szCs w:val="20"/>
        </w:rPr>
        <w:tab/>
      </w:r>
    </w:p>
    <w:p w14:paraId="3ED97B76" w14:textId="77777777" w:rsidR="00691C1A" w:rsidRPr="00690F98" w:rsidRDefault="00691C1A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EUA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>Estados Unidos da América</w:t>
      </w:r>
    </w:p>
    <w:p w14:paraId="38623FB9" w14:textId="77777777" w:rsidR="00CA4F70" w:rsidRPr="00690F98" w:rsidRDefault="00CA4F70" w:rsidP="00A6266B">
      <w:pPr>
        <w:rPr>
          <w:rFonts w:ascii="Gill Sans MT" w:hAnsi="Gill Sans MT"/>
          <w:sz w:val="20"/>
          <w:szCs w:val="20"/>
          <w:lang w:val="en-US"/>
        </w:rPr>
      </w:pPr>
      <w:r w:rsidRPr="00690F98">
        <w:rPr>
          <w:rFonts w:ascii="Gill Sans MT" w:hAnsi="Gill Sans MT"/>
          <w:sz w:val="20"/>
          <w:szCs w:val="20"/>
          <w:lang w:val="en-US"/>
        </w:rPr>
        <w:t>FAO</w:t>
      </w:r>
      <w:r w:rsidR="00531AC6" w:rsidRPr="00690F98">
        <w:rPr>
          <w:rFonts w:ascii="Gill Sans MT" w:hAnsi="Gill Sans MT"/>
          <w:sz w:val="20"/>
          <w:szCs w:val="20"/>
          <w:lang w:val="en-US"/>
        </w:rPr>
        <w:tab/>
      </w:r>
      <w:r w:rsidR="00531AC6" w:rsidRPr="00690F98">
        <w:rPr>
          <w:rFonts w:ascii="Gill Sans MT" w:hAnsi="Gill Sans MT"/>
          <w:sz w:val="20"/>
          <w:szCs w:val="20"/>
          <w:lang w:val="en-US"/>
        </w:rPr>
        <w:tab/>
        <w:t xml:space="preserve">Food and Agriculture Organization of the United Nations </w:t>
      </w:r>
    </w:p>
    <w:p w14:paraId="2C337E97" w14:textId="77777777" w:rsidR="00691C1A" w:rsidRPr="00690F98" w:rsidRDefault="00691C1A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FED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 xml:space="preserve">Federal Reserve </w:t>
      </w:r>
      <w:proofErr w:type="spellStart"/>
      <w:r w:rsidRPr="00690F98">
        <w:rPr>
          <w:rFonts w:ascii="Gill Sans MT" w:hAnsi="Gill Sans MT"/>
          <w:sz w:val="20"/>
          <w:szCs w:val="20"/>
        </w:rPr>
        <w:t>System</w:t>
      </w:r>
      <w:proofErr w:type="spellEnd"/>
    </w:p>
    <w:p w14:paraId="4E8C2D4A" w14:textId="77777777" w:rsidR="00691C1A" w:rsidRPr="00690F98" w:rsidRDefault="00691C1A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FMI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>Fundo Monetário Internacional</w:t>
      </w:r>
    </w:p>
    <w:p w14:paraId="72B23FD4" w14:textId="77777777" w:rsidR="00C70056" w:rsidRPr="00690F98" w:rsidRDefault="00C70056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INE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>Instituto Nacional de Estatística</w:t>
      </w:r>
    </w:p>
    <w:p w14:paraId="3B47A0F3" w14:textId="77777777" w:rsidR="00C70056" w:rsidRPr="00690F98" w:rsidRDefault="00C70056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MF</w:t>
      </w:r>
      <w:r w:rsidRPr="00690F98">
        <w:rPr>
          <w:rFonts w:ascii="Gill Sans MT" w:hAnsi="Gill Sans MT"/>
          <w:sz w:val="20"/>
          <w:szCs w:val="20"/>
        </w:rPr>
        <w:tab/>
      </w:r>
      <w:r w:rsid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>Ministério das Finanças</w:t>
      </w:r>
    </w:p>
    <w:p w14:paraId="45F66AB6" w14:textId="77777777" w:rsidR="00C70056" w:rsidRPr="00690F98" w:rsidRDefault="00C70056" w:rsidP="00A6266B">
      <w:pPr>
        <w:rPr>
          <w:rFonts w:ascii="Gill Sans MT" w:hAnsi="Gill Sans MT"/>
          <w:sz w:val="20"/>
          <w:szCs w:val="20"/>
        </w:rPr>
      </w:pPr>
      <w:r w:rsidRPr="00690F98">
        <w:rPr>
          <w:rFonts w:ascii="Gill Sans MT" w:hAnsi="Gill Sans MT"/>
          <w:sz w:val="20"/>
          <w:szCs w:val="20"/>
        </w:rPr>
        <w:t>OPEP</w:t>
      </w:r>
      <w:r w:rsidRPr="00690F98">
        <w:rPr>
          <w:rFonts w:ascii="Gill Sans MT" w:hAnsi="Gill Sans MT"/>
          <w:sz w:val="20"/>
          <w:szCs w:val="20"/>
        </w:rPr>
        <w:tab/>
      </w:r>
      <w:r w:rsidRPr="00690F98">
        <w:rPr>
          <w:rFonts w:ascii="Gill Sans MT" w:hAnsi="Gill Sans MT"/>
          <w:sz w:val="20"/>
          <w:szCs w:val="20"/>
        </w:rPr>
        <w:tab/>
        <w:t xml:space="preserve">Organização dos Países Exportadores de Petróleo </w:t>
      </w:r>
    </w:p>
    <w:p w14:paraId="19689931" w14:textId="77777777" w:rsidR="007F1A5E" w:rsidRDefault="005E46C9" w:rsidP="00A6266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SP</w:t>
      </w:r>
      <w:r w:rsidR="003928C0" w:rsidRPr="00690F98">
        <w:rPr>
          <w:rFonts w:ascii="Gill Sans MT" w:hAnsi="Gill Sans MT"/>
          <w:sz w:val="20"/>
          <w:szCs w:val="20"/>
        </w:rPr>
        <w:t>AME</w:t>
      </w:r>
      <w:r w:rsidR="00690F98">
        <w:rPr>
          <w:rFonts w:ascii="Gill Sans MT" w:hAnsi="Gill Sans MT"/>
          <w:sz w:val="20"/>
          <w:szCs w:val="20"/>
        </w:rPr>
        <w:tab/>
      </w:r>
      <w:r w:rsidR="003928C0" w:rsidRPr="00690F98">
        <w:rPr>
          <w:rFonts w:ascii="Gill Sans MT" w:hAnsi="Gill Sans MT"/>
          <w:sz w:val="20"/>
          <w:szCs w:val="20"/>
        </w:rPr>
        <w:tab/>
      </w:r>
      <w:r w:rsidR="007F1A5E" w:rsidRPr="007F1A5E">
        <w:rPr>
          <w:rFonts w:ascii="Gill Sans MT" w:hAnsi="Gill Sans MT"/>
          <w:sz w:val="20"/>
          <w:szCs w:val="20"/>
        </w:rPr>
        <w:t>Serviço de Prospetiva, Acompanhamento Macroeconómico e Estatísticas</w:t>
      </w:r>
    </w:p>
    <w:p w14:paraId="5CC9B4CE" w14:textId="77777777" w:rsidR="00C70056" w:rsidRPr="00690F98" w:rsidRDefault="00C70056" w:rsidP="00A6266B">
      <w:pPr>
        <w:rPr>
          <w:rFonts w:ascii="Gill Sans MT" w:hAnsi="Gill Sans MT"/>
          <w:sz w:val="20"/>
          <w:szCs w:val="20"/>
          <w:lang w:val="en-US"/>
        </w:rPr>
      </w:pPr>
      <w:r w:rsidRPr="00690F98">
        <w:rPr>
          <w:rFonts w:ascii="Gill Sans MT" w:hAnsi="Gill Sans MT"/>
          <w:sz w:val="20"/>
          <w:szCs w:val="20"/>
          <w:lang w:val="en-US"/>
        </w:rPr>
        <w:t>WEO</w:t>
      </w:r>
      <w:r w:rsidRPr="00690F98">
        <w:rPr>
          <w:rFonts w:ascii="Gill Sans MT" w:hAnsi="Gill Sans MT"/>
          <w:sz w:val="20"/>
          <w:szCs w:val="20"/>
          <w:lang w:val="en-US"/>
        </w:rPr>
        <w:tab/>
      </w:r>
      <w:r w:rsidRPr="00690F98">
        <w:rPr>
          <w:rFonts w:ascii="Gill Sans MT" w:hAnsi="Gill Sans MT"/>
          <w:sz w:val="20"/>
          <w:szCs w:val="20"/>
          <w:lang w:val="en-US"/>
        </w:rPr>
        <w:tab/>
        <w:t>World Economic Outlook</w:t>
      </w:r>
    </w:p>
    <w:p w14:paraId="412A3208" w14:textId="77777777" w:rsidR="00837AA1" w:rsidRDefault="00837AA1" w:rsidP="00095C92">
      <w:pPr>
        <w:rPr>
          <w:rFonts w:ascii="Gill Sans MT" w:hAnsi="Gill Sans MT"/>
          <w:lang w:val="en-US"/>
        </w:rPr>
      </w:pPr>
    </w:p>
    <w:p w14:paraId="0ACE25AA" w14:textId="77777777" w:rsidR="00837AA1" w:rsidRDefault="00837AA1" w:rsidP="00095C92">
      <w:pPr>
        <w:rPr>
          <w:rFonts w:ascii="Gill Sans MT" w:hAnsi="Gill Sans MT"/>
          <w:lang w:val="en-US"/>
        </w:rPr>
      </w:pPr>
    </w:p>
    <w:p w14:paraId="2187AC8C" w14:textId="77777777" w:rsidR="00837AA1" w:rsidRDefault="00837AA1" w:rsidP="00095C92">
      <w:pPr>
        <w:rPr>
          <w:rFonts w:ascii="Gill Sans MT" w:hAnsi="Gill Sans MT"/>
          <w:lang w:val="en-US"/>
        </w:rPr>
      </w:pPr>
    </w:p>
    <w:p w14:paraId="6CF33CC4" w14:textId="77777777" w:rsidR="00837AA1" w:rsidRDefault="00837AA1" w:rsidP="00095C92">
      <w:pPr>
        <w:rPr>
          <w:rFonts w:ascii="Gill Sans MT" w:hAnsi="Gill Sans MT"/>
          <w:lang w:val="en-US"/>
        </w:rPr>
      </w:pPr>
    </w:p>
    <w:p w14:paraId="4A6F1719" w14:textId="77777777" w:rsidR="00837AA1" w:rsidRDefault="00837AA1" w:rsidP="00095C92">
      <w:pPr>
        <w:rPr>
          <w:rFonts w:ascii="Gill Sans MT" w:hAnsi="Gill Sans MT"/>
          <w:lang w:val="en-US"/>
        </w:rPr>
      </w:pPr>
    </w:p>
    <w:p w14:paraId="22D60981" w14:textId="77777777" w:rsidR="00531AC6" w:rsidRPr="00690F98" w:rsidRDefault="007971DF" w:rsidP="00095C92">
      <w:pPr>
        <w:rPr>
          <w:rFonts w:ascii="Gill Sans MT" w:hAnsi="Gill Sans MT"/>
          <w:lang w:val="en-US"/>
        </w:rPr>
      </w:pPr>
      <w:r w:rsidRPr="00690F98">
        <w:rPr>
          <w:rFonts w:ascii="Gill Sans MT" w:hAnsi="Gill Sans MT"/>
          <w:lang w:val="en-US"/>
        </w:rPr>
        <w:tab/>
      </w:r>
    </w:p>
    <w:p w14:paraId="0837512A" w14:textId="77777777" w:rsidR="00665C68" w:rsidRPr="00690F98" w:rsidRDefault="00685102" w:rsidP="00A6266B">
      <w:pPr>
        <w:rPr>
          <w:rFonts w:ascii="Gill Sans MT" w:hAnsi="Gill Sans MT"/>
          <w:lang w:val="en-US"/>
        </w:rPr>
      </w:pPr>
      <w:r w:rsidRPr="00690F98">
        <w:rPr>
          <w:rFonts w:ascii="Gill Sans MT" w:hAnsi="Gill Sans MT"/>
          <w:lang w:val="en-US"/>
        </w:rPr>
        <w:t xml:space="preserve"> </w:t>
      </w:r>
    </w:p>
    <w:p w14:paraId="4D316DAE" w14:textId="77777777" w:rsidR="004C6D6E" w:rsidRPr="00690F98" w:rsidRDefault="004C6D6E" w:rsidP="00A6266B">
      <w:pPr>
        <w:rPr>
          <w:rFonts w:ascii="Gill Sans MT" w:hAnsi="Gill Sans MT"/>
          <w:lang w:val="en-US"/>
        </w:rPr>
      </w:pPr>
    </w:p>
    <w:p w14:paraId="7C49999A" w14:textId="77777777" w:rsidR="004C6D6E" w:rsidRPr="00690F98" w:rsidRDefault="004C6D6E" w:rsidP="00A6266B">
      <w:pPr>
        <w:rPr>
          <w:rFonts w:ascii="Gill Sans MT" w:hAnsi="Gill Sans MT"/>
          <w:lang w:val="en-US"/>
        </w:rPr>
      </w:pPr>
    </w:p>
    <w:p w14:paraId="2E96B0A4" w14:textId="77777777" w:rsidR="004C6D6E" w:rsidRDefault="004C6D6E" w:rsidP="00A6266B">
      <w:pPr>
        <w:rPr>
          <w:rFonts w:ascii="Gill Sans MT" w:hAnsi="Gill Sans MT"/>
          <w:lang w:val="en-US"/>
        </w:rPr>
      </w:pPr>
    </w:p>
    <w:p w14:paraId="66035B9E" w14:textId="64FA9739" w:rsidR="005A7775" w:rsidRDefault="005A7775" w:rsidP="00A6266B">
      <w:pPr>
        <w:rPr>
          <w:rFonts w:ascii="Gill Sans MT" w:hAnsi="Gill Sans MT"/>
          <w:lang w:val="en-US"/>
        </w:rPr>
      </w:pPr>
    </w:p>
    <w:p w14:paraId="7C8844CA" w14:textId="5034B390" w:rsidR="00431F85" w:rsidRDefault="00431F85" w:rsidP="00A6266B">
      <w:pPr>
        <w:rPr>
          <w:rFonts w:ascii="Gill Sans MT" w:hAnsi="Gill Sans MT"/>
          <w:lang w:val="en-US"/>
        </w:rPr>
      </w:pPr>
    </w:p>
    <w:p w14:paraId="10D98DF5" w14:textId="77777777" w:rsidR="00431F85" w:rsidRPr="00690F98" w:rsidRDefault="00431F85" w:rsidP="00A6266B">
      <w:pPr>
        <w:rPr>
          <w:rFonts w:ascii="Gill Sans MT" w:hAnsi="Gill Sans MT"/>
          <w:lang w:val="en-US"/>
        </w:rPr>
      </w:pPr>
    </w:p>
    <w:p w14:paraId="29DEA6A6" w14:textId="626B8024" w:rsidR="004C6D6E" w:rsidRDefault="004C6D6E" w:rsidP="00A6266B">
      <w:pPr>
        <w:rPr>
          <w:rFonts w:ascii="Gill Sans MT" w:hAnsi="Gill Sans MT"/>
          <w:lang w:val="en-US"/>
        </w:rPr>
      </w:pPr>
    </w:p>
    <w:p w14:paraId="511FD445" w14:textId="77777777" w:rsidR="00200687" w:rsidRDefault="00200687" w:rsidP="00A6266B">
      <w:pPr>
        <w:rPr>
          <w:rFonts w:ascii="Gill Sans MT" w:hAnsi="Gill Sans MT"/>
          <w:lang w:val="en-US"/>
        </w:rPr>
      </w:pPr>
    </w:p>
    <w:p w14:paraId="2737BF4F" w14:textId="1835F7B0" w:rsidR="00563D99" w:rsidRDefault="00563D99" w:rsidP="00A6266B">
      <w:pPr>
        <w:rPr>
          <w:rFonts w:ascii="Gill Sans MT" w:hAnsi="Gill Sans MT"/>
          <w:b/>
          <w:sz w:val="26"/>
          <w:szCs w:val="26"/>
          <w:lang w:val="en-US"/>
        </w:rPr>
      </w:pPr>
    </w:p>
    <w:p w14:paraId="20B313FD" w14:textId="77152BE4" w:rsidR="004C6D6E" w:rsidRPr="008E44F7" w:rsidRDefault="00256AE3" w:rsidP="00A6266B">
      <w:pPr>
        <w:rPr>
          <w:rFonts w:ascii="Gill Sans MT" w:hAnsi="Gill Sans MT"/>
          <w:b/>
          <w:sz w:val="26"/>
          <w:szCs w:val="26"/>
          <w:lang w:val="en-GB"/>
        </w:rPr>
      </w:pPr>
      <w:r w:rsidRPr="008E44F7">
        <w:rPr>
          <w:rFonts w:ascii="Gill Sans MT" w:hAnsi="Gill Sans MT"/>
          <w:b/>
          <w:sz w:val="26"/>
          <w:szCs w:val="26"/>
          <w:lang w:val="en-GB"/>
        </w:rPr>
        <w:t xml:space="preserve">Nota </w:t>
      </w:r>
      <w:r w:rsidR="00290D12" w:rsidRPr="008E44F7">
        <w:rPr>
          <w:rFonts w:ascii="Gill Sans MT" w:hAnsi="Gill Sans MT"/>
          <w:b/>
          <w:sz w:val="26"/>
          <w:szCs w:val="26"/>
          <w:lang w:val="en-GB"/>
        </w:rPr>
        <w:t>Previa</w:t>
      </w:r>
    </w:p>
    <w:p w14:paraId="1112A608" w14:textId="77777777" w:rsidR="004C6D6E" w:rsidRPr="008E44F7" w:rsidRDefault="004C6D6E" w:rsidP="00A6266B">
      <w:pPr>
        <w:rPr>
          <w:rFonts w:ascii="Gill Sans MT" w:hAnsi="Gill Sans MT" w:cs="Arial"/>
          <w:bCs/>
          <w:sz w:val="24"/>
          <w:szCs w:val="24"/>
          <w:lang w:val="en-GB"/>
        </w:rPr>
      </w:pPr>
    </w:p>
    <w:p w14:paraId="13784193" w14:textId="77777777" w:rsidR="003B3C6E" w:rsidRPr="000330C7" w:rsidRDefault="003B3C6E" w:rsidP="00665A1E">
      <w:pPr>
        <w:spacing w:line="360" w:lineRule="auto"/>
        <w:jc w:val="both"/>
        <w:rPr>
          <w:rFonts w:ascii="Gill Sans MT" w:hAnsi="Gill Sans MT" w:cs="Arial"/>
          <w:bCs/>
        </w:rPr>
      </w:pPr>
      <w:r w:rsidRPr="000330C7">
        <w:rPr>
          <w:rFonts w:ascii="Gill Sans MT" w:hAnsi="Gill Sans MT" w:cs="Arial"/>
          <w:bCs/>
        </w:rPr>
        <w:t>O Boletim de Acompanhamento Macroeconómico e Estatística</w:t>
      </w:r>
      <w:r w:rsidR="007F1A5E" w:rsidRPr="000330C7">
        <w:rPr>
          <w:rFonts w:ascii="Gill Sans MT" w:hAnsi="Gill Sans MT" w:cs="Arial"/>
          <w:bCs/>
        </w:rPr>
        <w:t xml:space="preserve"> trimestral</w:t>
      </w:r>
      <w:r w:rsidRPr="000330C7">
        <w:rPr>
          <w:rFonts w:ascii="Gill Sans MT" w:hAnsi="Gill Sans MT" w:cs="Arial"/>
          <w:bCs/>
        </w:rPr>
        <w:t xml:space="preserve"> é um documento produzido pela Direção Nacional de Planeamento do Ministério das Finanças que traz um conjunto de informações estatísticas e indicadores que possibilitam um acompanhamento dinâmico da realidade macroeconómica nacional e internacional.</w:t>
      </w:r>
      <w:r w:rsidR="00665A1E" w:rsidRPr="000330C7">
        <w:rPr>
          <w:rFonts w:ascii="Gill Sans MT" w:hAnsi="Gill Sans MT" w:cs="Arial"/>
          <w:bCs/>
        </w:rPr>
        <w:t xml:space="preserve"> </w:t>
      </w:r>
    </w:p>
    <w:p w14:paraId="07784E84" w14:textId="07DBD3C2" w:rsidR="00217111" w:rsidRPr="000330C7" w:rsidRDefault="003B3C6E" w:rsidP="00A6266B">
      <w:pPr>
        <w:spacing w:line="360" w:lineRule="auto"/>
        <w:jc w:val="both"/>
        <w:rPr>
          <w:rFonts w:ascii="Gill Sans MT" w:hAnsi="Gill Sans MT" w:cs="Arial"/>
          <w:bCs/>
        </w:rPr>
      </w:pPr>
      <w:r w:rsidRPr="000330C7">
        <w:rPr>
          <w:rFonts w:ascii="Gill Sans MT" w:hAnsi="Gill Sans MT" w:cs="Arial"/>
          <w:bCs/>
        </w:rPr>
        <w:t xml:space="preserve">A análise da conjuntura nacional não pode ser feita de uma forma isolada, uma vez que, a economia cabo-verdiana é </w:t>
      </w:r>
      <w:r w:rsidR="001612F9" w:rsidRPr="000330C7">
        <w:rPr>
          <w:rFonts w:ascii="Gill Sans MT" w:hAnsi="Gill Sans MT" w:cs="Arial"/>
          <w:bCs/>
        </w:rPr>
        <w:t>fortemente dependente d</w:t>
      </w:r>
      <w:r w:rsidRPr="000330C7">
        <w:rPr>
          <w:rFonts w:ascii="Gill Sans MT" w:hAnsi="Gill Sans MT" w:cs="Arial"/>
          <w:bCs/>
        </w:rPr>
        <w:t>os choques externos/exógen</w:t>
      </w:r>
      <w:r w:rsidR="00533A99">
        <w:rPr>
          <w:rFonts w:ascii="Gill Sans MT" w:hAnsi="Gill Sans MT" w:cs="Arial"/>
          <w:bCs/>
        </w:rPr>
        <w:t>o</w:t>
      </w:r>
      <w:r w:rsidRPr="000330C7">
        <w:rPr>
          <w:rFonts w:ascii="Gill Sans MT" w:hAnsi="Gill Sans MT" w:cs="Arial"/>
          <w:bCs/>
        </w:rPr>
        <w:t xml:space="preserve">s. Neste sentido </w:t>
      </w:r>
      <w:r w:rsidR="001612F9" w:rsidRPr="000330C7">
        <w:rPr>
          <w:rFonts w:ascii="Gill Sans MT" w:hAnsi="Gill Sans MT" w:cs="Arial"/>
          <w:bCs/>
        </w:rPr>
        <w:t xml:space="preserve">são </w:t>
      </w:r>
      <w:r w:rsidRPr="000330C7">
        <w:rPr>
          <w:rFonts w:ascii="Gill Sans MT" w:hAnsi="Gill Sans MT" w:cs="Arial"/>
          <w:bCs/>
        </w:rPr>
        <w:t xml:space="preserve">analisadas a performance económica dos principais parceiros comerciais do país e dos principais blocos económicos. No mesmo âmbito </w:t>
      </w:r>
      <w:r w:rsidR="001612F9" w:rsidRPr="000330C7">
        <w:rPr>
          <w:rFonts w:ascii="Gill Sans MT" w:hAnsi="Gill Sans MT" w:cs="Arial"/>
          <w:bCs/>
        </w:rPr>
        <w:t>são</w:t>
      </w:r>
      <w:r w:rsidRPr="000330C7">
        <w:rPr>
          <w:rFonts w:ascii="Gill Sans MT" w:hAnsi="Gill Sans MT" w:cs="Arial"/>
          <w:bCs/>
        </w:rPr>
        <w:t xml:space="preserve">, também, analisadas a evolução dos preços internacionais das </w:t>
      </w:r>
      <w:proofErr w:type="spellStart"/>
      <w:r w:rsidRPr="000330C7">
        <w:rPr>
          <w:rFonts w:ascii="Gill Sans MT" w:hAnsi="Gill Sans MT" w:cs="Arial"/>
          <w:bCs/>
          <w:i/>
        </w:rPr>
        <w:t>commodities</w:t>
      </w:r>
      <w:proofErr w:type="spellEnd"/>
      <w:r w:rsidRPr="000330C7">
        <w:rPr>
          <w:rFonts w:ascii="Gill Sans MT" w:hAnsi="Gill Sans MT" w:cs="Arial"/>
          <w:bCs/>
        </w:rPr>
        <w:t xml:space="preserve">, enfatizando as matérias-primas energéticas e alimentares. </w:t>
      </w:r>
    </w:p>
    <w:p w14:paraId="2D68D494" w14:textId="6BDE4B81" w:rsidR="00E9770B" w:rsidRDefault="003B3C6E" w:rsidP="00A6266B">
      <w:pPr>
        <w:spacing w:line="360" w:lineRule="auto"/>
        <w:jc w:val="both"/>
        <w:rPr>
          <w:rFonts w:ascii="Gill Sans MT" w:hAnsi="Gill Sans MT" w:cs="Arial"/>
          <w:bCs/>
        </w:rPr>
      </w:pPr>
      <w:r w:rsidRPr="000330C7">
        <w:rPr>
          <w:rFonts w:ascii="Gill Sans MT" w:hAnsi="Gill Sans MT" w:cs="Arial"/>
          <w:bCs/>
        </w:rPr>
        <w:t>Internamente, foi destacado a performance das variáveis macroeconómicas como a inflação, as imp</w:t>
      </w:r>
      <w:r w:rsidR="008C352B">
        <w:rPr>
          <w:rFonts w:ascii="Gill Sans MT" w:hAnsi="Gill Sans MT" w:cs="Arial"/>
          <w:bCs/>
        </w:rPr>
        <w:t xml:space="preserve">ortações e exportações do país e </w:t>
      </w:r>
      <w:r w:rsidRPr="000330C7">
        <w:rPr>
          <w:rFonts w:ascii="Gill Sans MT" w:hAnsi="Gill Sans MT" w:cs="Arial"/>
          <w:bCs/>
        </w:rPr>
        <w:t xml:space="preserve">os principais indicadores do setor monetário, </w:t>
      </w:r>
      <w:r w:rsidR="00C8224F">
        <w:rPr>
          <w:rFonts w:ascii="Gill Sans MT" w:hAnsi="Gill Sans MT" w:cs="Arial"/>
          <w:bCs/>
        </w:rPr>
        <w:t>tendo em conta os dados publicados</w:t>
      </w:r>
      <w:r w:rsidRPr="000330C7">
        <w:rPr>
          <w:rFonts w:ascii="Gill Sans MT" w:hAnsi="Gill Sans MT" w:cs="Arial"/>
          <w:bCs/>
        </w:rPr>
        <w:t xml:space="preserve"> pelo Banco Central de Cabo Verde (BCV), pelo Instituto Nacional de Estatísticas (INE) e pela Direção Geral das Alfândegas (DGALF).</w:t>
      </w:r>
      <w:r w:rsidR="00AC6741" w:rsidRPr="000330C7">
        <w:rPr>
          <w:rFonts w:ascii="Gill Sans MT" w:hAnsi="Gill Sans MT"/>
        </w:rPr>
        <w:t xml:space="preserve"> </w:t>
      </w:r>
      <w:r w:rsidR="00AC6741" w:rsidRPr="000330C7">
        <w:rPr>
          <w:rFonts w:ascii="Gill Sans MT" w:hAnsi="Gill Sans MT" w:cs="Arial"/>
          <w:bCs/>
        </w:rPr>
        <w:t xml:space="preserve">Analogamente visa analisar o comportamento das finanças públicas uma vez que esta deverá orientar-se pela </w:t>
      </w:r>
      <w:r w:rsidR="00B72594" w:rsidRPr="000330C7">
        <w:rPr>
          <w:rFonts w:ascii="Gill Sans MT" w:hAnsi="Gill Sans MT" w:cs="Arial"/>
          <w:bCs/>
        </w:rPr>
        <w:t>tenacidade</w:t>
      </w:r>
      <w:r w:rsidR="00AC6741" w:rsidRPr="000330C7">
        <w:rPr>
          <w:rFonts w:ascii="Gill Sans MT" w:hAnsi="Gill Sans MT" w:cs="Arial"/>
          <w:bCs/>
        </w:rPr>
        <w:t xml:space="preserve"> duma gestão prudente, em </w:t>
      </w:r>
      <w:r w:rsidR="00B72594" w:rsidRPr="000330C7">
        <w:rPr>
          <w:rFonts w:ascii="Gill Sans MT" w:hAnsi="Gill Sans MT" w:cs="Arial"/>
          <w:bCs/>
        </w:rPr>
        <w:t>harmonia</w:t>
      </w:r>
      <w:r w:rsidR="00AC6741" w:rsidRPr="000330C7">
        <w:rPr>
          <w:rFonts w:ascii="Gill Sans MT" w:hAnsi="Gill Sans MT" w:cs="Arial"/>
          <w:bCs/>
        </w:rPr>
        <w:t xml:space="preserve"> com a política global</w:t>
      </w:r>
      <w:r w:rsidR="00B72594" w:rsidRPr="000330C7">
        <w:rPr>
          <w:rFonts w:ascii="Gill Sans MT" w:hAnsi="Gill Sans MT" w:cs="Arial"/>
          <w:bCs/>
        </w:rPr>
        <w:t xml:space="preserve"> de estabilidade macroeconómica</w:t>
      </w:r>
      <w:r w:rsidR="00AC6741" w:rsidRPr="000330C7">
        <w:rPr>
          <w:rFonts w:ascii="Gill Sans MT" w:hAnsi="Gill Sans MT" w:cs="Arial"/>
          <w:bCs/>
        </w:rPr>
        <w:t xml:space="preserve"> </w:t>
      </w:r>
      <w:r w:rsidR="00B72594" w:rsidRPr="000330C7">
        <w:rPr>
          <w:rFonts w:ascii="Gill Sans MT" w:hAnsi="Gill Sans MT" w:cs="Arial"/>
          <w:bCs/>
        </w:rPr>
        <w:t>para um crescimento</w:t>
      </w:r>
      <w:r w:rsidR="00AC6741" w:rsidRPr="000330C7">
        <w:rPr>
          <w:rFonts w:ascii="Gill Sans MT" w:hAnsi="Gill Sans MT" w:cs="Arial"/>
          <w:bCs/>
        </w:rPr>
        <w:t xml:space="preserve"> sustentável</w:t>
      </w:r>
      <w:r w:rsidR="00B72594" w:rsidRPr="000330C7">
        <w:rPr>
          <w:rFonts w:ascii="Gill Sans MT" w:hAnsi="Gill Sans MT" w:cs="Arial"/>
          <w:bCs/>
        </w:rPr>
        <w:t>.</w:t>
      </w:r>
    </w:p>
    <w:p w14:paraId="408E09B7" w14:textId="77777777" w:rsidR="00122B3A" w:rsidRPr="005D7E3E" w:rsidRDefault="00122B3A" w:rsidP="00122B3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Em</w:t>
      </w:r>
      <w:r w:rsidRPr="005D7E3E">
        <w:rPr>
          <w:rFonts w:ascii="Gill Sans MT" w:hAnsi="Gill Sans MT"/>
        </w:rPr>
        <w:t xml:space="preserve"> 2020 a economia mundial entrou numa crise sanitária sem precedentes, devido a pandemia da COVID</w:t>
      </w:r>
      <w:r>
        <w:rPr>
          <w:rFonts w:ascii="Gill Sans MT" w:hAnsi="Gill Sans MT"/>
        </w:rPr>
        <w:t xml:space="preserve">-19, </w:t>
      </w:r>
      <w:r w:rsidRPr="005D7E3E">
        <w:rPr>
          <w:rFonts w:ascii="Gill Sans MT" w:hAnsi="Gill Sans MT"/>
        </w:rPr>
        <w:t>caus</w:t>
      </w:r>
      <w:r>
        <w:rPr>
          <w:rFonts w:ascii="Gill Sans MT" w:hAnsi="Gill Sans MT"/>
        </w:rPr>
        <w:t>ando</w:t>
      </w:r>
      <w:r w:rsidRPr="005D7E3E">
        <w:rPr>
          <w:rFonts w:ascii="Gill Sans MT" w:hAnsi="Gill Sans MT"/>
        </w:rPr>
        <w:t xml:space="preserve"> a maior recessão desde a grande depressão, </w:t>
      </w:r>
      <w:r>
        <w:rPr>
          <w:rFonts w:ascii="Gill Sans MT" w:hAnsi="Gill Sans MT"/>
        </w:rPr>
        <w:t xml:space="preserve">provocando forte queda no comércio internacional e </w:t>
      </w:r>
      <w:r w:rsidRPr="005D7E3E">
        <w:rPr>
          <w:rFonts w:ascii="Gill Sans MT" w:hAnsi="Gill Sans MT"/>
        </w:rPr>
        <w:t xml:space="preserve">originando flutuações significativas no preço dos </w:t>
      </w:r>
      <w:proofErr w:type="spellStart"/>
      <w:r w:rsidRPr="00F95E2A">
        <w:rPr>
          <w:rFonts w:ascii="Gill Sans MT" w:hAnsi="Gill Sans MT"/>
          <w:i/>
        </w:rPr>
        <w:t>commodities</w:t>
      </w:r>
      <w:proofErr w:type="spellEnd"/>
      <w:r w:rsidRPr="005D7E3E">
        <w:rPr>
          <w:rFonts w:ascii="Gill Sans MT" w:hAnsi="Gill Sans MT"/>
        </w:rPr>
        <w:t xml:space="preserve"> e nas taxas de câmbio.</w:t>
      </w:r>
    </w:p>
    <w:p w14:paraId="24178E52" w14:textId="77777777" w:rsidR="00122B3A" w:rsidRDefault="00122B3A" w:rsidP="00122B3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nível nacional, n</w:t>
      </w:r>
      <w:r w:rsidRPr="005D7E3E">
        <w:rPr>
          <w:rFonts w:ascii="Gill Sans MT" w:hAnsi="Gill Sans MT"/>
        </w:rPr>
        <w:t>o I</w:t>
      </w:r>
      <w:r>
        <w:rPr>
          <w:rFonts w:ascii="Gill Sans MT" w:hAnsi="Gill Sans MT"/>
        </w:rPr>
        <w:t>II</w:t>
      </w:r>
      <w:r w:rsidRPr="005D7E3E">
        <w:rPr>
          <w:rFonts w:ascii="Gill Sans MT" w:hAnsi="Gill Sans MT"/>
        </w:rPr>
        <w:t xml:space="preserve"> trimestre de 2020</w:t>
      </w:r>
      <w:r>
        <w:rPr>
          <w:rFonts w:ascii="Gill Sans MT" w:hAnsi="Gill Sans MT"/>
        </w:rPr>
        <w:t>,</w:t>
      </w:r>
      <w:r w:rsidRPr="005D7E3E">
        <w:rPr>
          <w:rFonts w:ascii="Gill Sans MT" w:hAnsi="Gill Sans MT"/>
        </w:rPr>
        <w:t xml:space="preserve"> o PIB em volume registou uma </w:t>
      </w:r>
      <w:r>
        <w:rPr>
          <w:rFonts w:ascii="Gill Sans MT" w:hAnsi="Gill Sans MT"/>
        </w:rPr>
        <w:t>contração</w:t>
      </w:r>
      <w:r w:rsidRPr="005D7E3E">
        <w:rPr>
          <w:rFonts w:ascii="Gill Sans MT" w:hAnsi="Gill Sans MT"/>
        </w:rPr>
        <w:t xml:space="preserve"> de 1</w:t>
      </w:r>
      <w:r>
        <w:rPr>
          <w:rFonts w:ascii="Gill Sans MT" w:hAnsi="Gill Sans MT"/>
        </w:rPr>
        <w:t>8</w:t>
      </w:r>
      <w:r w:rsidRPr="005D7E3E">
        <w:rPr>
          <w:rFonts w:ascii="Gill Sans MT" w:hAnsi="Gill Sans MT"/>
        </w:rPr>
        <w:t>,</w:t>
      </w:r>
      <w:r>
        <w:rPr>
          <w:rFonts w:ascii="Gill Sans MT" w:hAnsi="Gill Sans MT"/>
        </w:rPr>
        <w:t>7</w:t>
      </w:r>
      <w:r w:rsidRPr="005D7E3E">
        <w:rPr>
          <w:rFonts w:ascii="Gill Sans MT" w:hAnsi="Gill Sans MT"/>
        </w:rPr>
        <w:t xml:space="preserve">%, espelhando a diminuição </w:t>
      </w:r>
      <w:r>
        <w:rPr>
          <w:rFonts w:ascii="Gill Sans MT" w:hAnsi="Gill Sans MT"/>
        </w:rPr>
        <w:t>registada n</w:t>
      </w:r>
      <w:r w:rsidRPr="005D7E3E">
        <w:rPr>
          <w:rFonts w:ascii="Gill Sans MT" w:hAnsi="Gill Sans MT"/>
        </w:rPr>
        <w:t xml:space="preserve">as despesas de consumo </w:t>
      </w:r>
      <w:r>
        <w:rPr>
          <w:rFonts w:ascii="Gill Sans MT" w:hAnsi="Gill Sans MT"/>
        </w:rPr>
        <w:t>privado</w:t>
      </w:r>
      <w:r w:rsidRPr="005D7E3E"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>n</w:t>
      </w:r>
      <w:r w:rsidRPr="005D7E3E">
        <w:rPr>
          <w:rFonts w:ascii="Gill Sans MT" w:hAnsi="Gill Sans MT"/>
        </w:rPr>
        <w:t xml:space="preserve">as exportações, </w:t>
      </w:r>
      <w:r>
        <w:rPr>
          <w:rFonts w:ascii="Gill Sans MT" w:hAnsi="Gill Sans MT"/>
        </w:rPr>
        <w:t>não obstante a</w:t>
      </w:r>
      <w:r w:rsidRPr="005D7E3E">
        <w:rPr>
          <w:rFonts w:ascii="Gill Sans MT" w:hAnsi="Gill Sans MT"/>
        </w:rPr>
        <w:t xml:space="preserve">o aumento </w:t>
      </w:r>
      <w:r>
        <w:rPr>
          <w:rFonts w:ascii="Gill Sans MT" w:hAnsi="Gill Sans MT"/>
        </w:rPr>
        <w:t>ocorrido n</w:t>
      </w:r>
      <w:r w:rsidRPr="005D7E3E">
        <w:rPr>
          <w:rFonts w:ascii="Gill Sans MT" w:hAnsi="Gill Sans MT"/>
        </w:rPr>
        <w:t xml:space="preserve">os investimentos. Do lado da </w:t>
      </w:r>
      <w:r>
        <w:rPr>
          <w:rFonts w:ascii="Gill Sans MT" w:hAnsi="Gill Sans MT"/>
        </w:rPr>
        <w:t>oferta</w:t>
      </w:r>
      <w:r w:rsidRPr="005D7E3E">
        <w:rPr>
          <w:rFonts w:ascii="Gill Sans MT" w:hAnsi="Gill Sans MT"/>
        </w:rPr>
        <w:t>, tal performance reflete os contributos negativos dos sectores primário</w:t>
      </w:r>
      <w:r>
        <w:rPr>
          <w:rFonts w:ascii="Gill Sans MT" w:hAnsi="Gill Sans MT"/>
        </w:rPr>
        <w:t>, secundário</w:t>
      </w:r>
      <w:r w:rsidRPr="005D7E3E">
        <w:rPr>
          <w:rFonts w:ascii="Gill Sans MT" w:hAnsi="Gill Sans MT"/>
        </w:rPr>
        <w:t xml:space="preserve"> e terciário que contraíram </w:t>
      </w:r>
      <w:r>
        <w:rPr>
          <w:rFonts w:ascii="Gill Sans MT" w:hAnsi="Gill Sans MT"/>
        </w:rPr>
        <w:t>11,7</w:t>
      </w:r>
      <w:r w:rsidRPr="005D7E3E">
        <w:rPr>
          <w:rFonts w:ascii="Gill Sans MT" w:hAnsi="Gill Sans MT"/>
        </w:rPr>
        <w:t>%</w:t>
      </w:r>
      <w:r>
        <w:rPr>
          <w:rFonts w:ascii="Gill Sans MT" w:hAnsi="Gill Sans MT"/>
        </w:rPr>
        <w:t>; 0,2%</w:t>
      </w:r>
      <w:r w:rsidRPr="005D7E3E">
        <w:rPr>
          <w:rFonts w:ascii="Gill Sans MT" w:hAnsi="Gill Sans MT"/>
        </w:rPr>
        <w:t xml:space="preserve"> e</w:t>
      </w:r>
      <w:r>
        <w:rPr>
          <w:rFonts w:ascii="Gill Sans MT" w:hAnsi="Gill Sans MT"/>
        </w:rPr>
        <w:t xml:space="preserve"> 17,0</w:t>
      </w:r>
      <w:r w:rsidRPr="005D7E3E">
        <w:rPr>
          <w:rFonts w:ascii="Gill Sans MT" w:hAnsi="Gill Sans MT"/>
        </w:rPr>
        <w:t xml:space="preserve">% respetivamente. </w:t>
      </w:r>
    </w:p>
    <w:p w14:paraId="36BB954A" w14:textId="77777777" w:rsidR="00122B3A" w:rsidRDefault="00122B3A" w:rsidP="00122B3A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/>
        </w:rPr>
        <w:t>Quanto aos preços</w:t>
      </w:r>
      <w:r>
        <w:rPr>
          <w:rFonts w:ascii="Gill Sans MT" w:hAnsi="Gill Sans MT" w:cs="Arial"/>
          <w:bCs/>
        </w:rPr>
        <w:t xml:space="preserve">, em dezembro de 2020 a </w:t>
      </w:r>
      <w:r w:rsidRPr="00E45882">
        <w:rPr>
          <w:rFonts w:ascii="Gill Sans MT" w:hAnsi="Gill Sans MT" w:cs="Arial"/>
          <w:bCs/>
        </w:rPr>
        <w:t>inflação média anual situou-se em 0,6%</w:t>
      </w:r>
      <w:r>
        <w:rPr>
          <w:rFonts w:ascii="Gill Sans MT" w:hAnsi="Gill Sans MT" w:cs="Arial"/>
          <w:bCs/>
        </w:rPr>
        <w:t xml:space="preserve"> (-</w:t>
      </w:r>
      <w:r w:rsidRPr="00E45882">
        <w:rPr>
          <w:rFonts w:ascii="Gill Sans MT" w:hAnsi="Gill Sans MT" w:cs="Arial"/>
          <w:bCs/>
        </w:rPr>
        <w:t xml:space="preserve"> 0,5 p.p., face ao período homologo</w:t>
      </w:r>
      <w:r>
        <w:rPr>
          <w:rFonts w:ascii="Gill Sans MT" w:hAnsi="Gill Sans MT" w:cs="Arial"/>
          <w:bCs/>
        </w:rPr>
        <w:t>)</w:t>
      </w:r>
      <w:r w:rsidRPr="00E45882">
        <w:rPr>
          <w:rFonts w:ascii="Gill Sans MT" w:hAnsi="Gill Sans MT" w:cs="Arial"/>
          <w:bCs/>
        </w:rPr>
        <w:t xml:space="preserve">, refletindo a </w:t>
      </w:r>
      <w:r>
        <w:rPr>
          <w:rFonts w:ascii="Gill Sans MT" w:hAnsi="Gill Sans MT" w:cs="Arial"/>
          <w:bCs/>
        </w:rPr>
        <w:t>diminuição</w:t>
      </w:r>
      <w:r w:rsidRPr="00E45882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 xml:space="preserve">dos preços dos vestuários e calçado, </w:t>
      </w:r>
      <w:r w:rsidRPr="00E45882">
        <w:rPr>
          <w:rFonts w:ascii="Gill Sans MT" w:hAnsi="Gill Sans MT" w:cs="Arial"/>
          <w:bCs/>
        </w:rPr>
        <w:t xml:space="preserve">dos </w:t>
      </w:r>
      <w:r>
        <w:rPr>
          <w:rFonts w:ascii="Gill Sans MT" w:hAnsi="Gill Sans MT" w:cs="Arial"/>
          <w:bCs/>
        </w:rPr>
        <w:t>h</w:t>
      </w:r>
      <w:r w:rsidRPr="00E45882">
        <w:rPr>
          <w:rFonts w:ascii="Gill Sans MT" w:hAnsi="Gill Sans MT" w:cs="Arial"/>
          <w:bCs/>
        </w:rPr>
        <w:t>otéis, restaurantes, cafés e similares</w:t>
      </w:r>
      <w:r>
        <w:rPr>
          <w:rFonts w:ascii="Gill Sans MT" w:hAnsi="Gill Sans MT" w:cs="Arial"/>
          <w:bCs/>
        </w:rPr>
        <w:t xml:space="preserve">, das bebidas alcoólicas e tabaco, das comunicações, dos bens e serviços diversos e </w:t>
      </w:r>
      <w:r w:rsidRPr="00E45882">
        <w:rPr>
          <w:rFonts w:ascii="Gill Sans MT" w:hAnsi="Gill Sans MT" w:cs="Arial"/>
          <w:bCs/>
        </w:rPr>
        <w:t>d</w:t>
      </w:r>
      <w:r>
        <w:rPr>
          <w:rFonts w:ascii="Gill Sans MT" w:hAnsi="Gill Sans MT" w:cs="Arial"/>
          <w:bCs/>
        </w:rPr>
        <w:t xml:space="preserve">os bens energéticos e de ensino. </w:t>
      </w:r>
      <w:r w:rsidRPr="00B943C4">
        <w:rPr>
          <w:rFonts w:ascii="Gill Sans MT" w:hAnsi="Gill Sans MT" w:cs="Times New Roman"/>
          <w:bCs/>
        </w:rPr>
        <w:t>A inflação subjacente</w:t>
      </w:r>
      <w:r>
        <w:rPr>
          <w:rFonts w:ascii="Gill Sans MT" w:hAnsi="Gill Sans MT" w:cs="Times New Roman"/>
          <w:bCs/>
        </w:rPr>
        <w:t xml:space="preserve"> situou-se em 1,3% no trimestre.</w:t>
      </w:r>
    </w:p>
    <w:p w14:paraId="555B05E2" w14:textId="542CC936" w:rsidR="00122B3A" w:rsidRPr="00F95E2A" w:rsidRDefault="00122B3A" w:rsidP="00122B3A">
      <w:pPr>
        <w:spacing w:line="360" w:lineRule="auto"/>
        <w:jc w:val="both"/>
        <w:rPr>
          <w:rFonts w:ascii="Gill Sans MT" w:hAnsi="Gill Sans MT" w:cs="Times New Roman"/>
          <w:bCs/>
        </w:rPr>
      </w:pPr>
      <w:r>
        <w:rPr>
          <w:rFonts w:ascii="Gill Sans MT" w:hAnsi="Gill Sans MT"/>
        </w:rPr>
        <w:t>Respetivamente ao sector</w:t>
      </w:r>
      <w:r w:rsidRPr="005D7E3E">
        <w:rPr>
          <w:rFonts w:ascii="Gill Sans MT" w:hAnsi="Gill Sans MT"/>
        </w:rPr>
        <w:t xml:space="preserve"> externo</w:t>
      </w:r>
      <w:r>
        <w:rPr>
          <w:rFonts w:ascii="Gill Sans MT" w:hAnsi="Gill Sans MT"/>
        </w:rPr>
        <w:t>,</w:t>
      </w:r>
      <w:r w:rsidRPr="005D7E3E">
        <w:rPr>
          <w:rFonts w:ascii="Gill Sans MT" w:hAnsi="Gill Sans MT"/>
        </w:rPr>
        <w:t xml:space="preserve"> </w:t>
      </w:r>
      <w:r>
        <w:rPr>
          <w:rFonts w:ascii="Gill Sans MT" w:hAnsi="Gill Sans MT" w:cs="Times New Roman"/>
          <w:bCs/>
        </w:rPr>
        <w:t>o</w:t>
      </w:r>
      <w:r w:rsidRPr="00E60FE9">
        <w:rPr>
          <w:rFonts w:ascii="Gill Sans MT" w:hAnsi="Gill Sans MT" w:cs="Times New Roman"/>
          <w:bCs/>
        </w:rPr>
        <w:t>s dados da Direção Geral das Alfandegas</w:t>
      </w:r>
      <w:r>
        <w:rPr>
          <w:rFonts w:ascii="Gill Sans MT" w:hAnsi="Gill Sans MT" w:cs="Times New Roman"/>
          <w:bCs/>
        </w:rPr>
        <w:t xml:space="preserve"> para o IV trimestre de 2020</w:t>
      </w:r>
      <w:r w:rsidRPr="00E60FE9">
        <w:rPr>
          <w:rFonts w:ascii="Gill Sans MT" w:hAnsi="Gill Sans MT" w:cs="Times New Roman"/>
          <w:bCs/>
        </w:rPr>
        <w:t xml:space="preserve">, </w:t>
      </w:r>
      <w:r>
        <w:rPr>
          <w:rFonts w:ascii="Gill Sans MT" w:hAnsi="Gill Sans MT" w:cs="Times New Roman"/>
          <w:bCs/>
        </w:rPr>
        <w:t>apont</w:t>
      </w:r>
      <w:r w:rsidRPr="00E60FE9">
        <w:rPr>
          <w:rFonts w:ascii="Gill Sans MT" w:hAnsi="Gill Sans MT" w:cs="Times New Roman"/>
          <w:bCs/>
        </w:rPr>
        <w:t xml:space="preserve">am </w:t>
      </w:r>
      <w:r>
        <w:rPr>
          <w:rFonts w:ascii="Gill Sans MT" w:hAnsi="Gill Sans MT" w:cs="Times New Roman"/>
          <w:bCs/>
        </w:rPr>
        <w:t xml:space="preserve">para melhoria da balança comercial </w:t>
      </w:r>
      <w:r w:rsidRPr="00E60FE9">
        <w:rPr>
          <w:rFonts w:ascii="Gill Sans MT" w:hAnsi="Gill Sans MT" w:cs="Times New Roman"/>
          <w:bCs/>
        </w:rPr>
        <w:t>de bens</w:t>
      </w:r>
      <w:r>
        <w:rPr>
          <w:rFonts w:ascii="Gill Sans MT" w:hAnsi="Gill Sans MT" w:cs="Times New Roman"/>
          <w:bCs/>
        </w:rPr>
        <w:t xml:space="preserve"> em 15,4%, </w:t>
      </w:r>
      <w:r w:rsidRPr="00E60FE9">
        <w:rPr>
          <w:rFonts w:ascii="Gill Sans MT" w:hAnsi="Gill Sans MT" w:cs="Times New Roman"/>
          <w:bCs/>
        </w:rPr>
        <w:t>refletindo</w:t>
      </w:r>
      <w:r>
        <w:rPr>
          <w:rFonts w:ascii="Gill Sans MT" w:hAnsi="Gill Sans MT" w:cs="Times New Roman"/>
          <w:bCs/>
        </w:rPr>
        <w:t xml:space="preserve"> o aumento das </w:t>
      </w:r>
      <w:r>
        <w:rPr>
          <w:rFonts w:ascii="Gill Sans MT" w:hAnsi="Gill Sans MT" w:cs="Times New Roman"/>
          <w:bCs/>
        </w:rPr>
        <w:lastRenderedPageBreak/>
        <w:t xml:space="preserve">exportações de bens (nomeadamente dos produtos do mar) </w:t>
      </w:r>
      <w:r w:rsidRPr="00E60FE9">
        <w:rPr>
          <w:rFonts w:ascii="Gill Sans MT" w:hAnsi="Gill Sans MT" w:cs="Times New Roman"/>
          <w:bCs/>
        </w:rPr>
        <w:t xml:space="preserve">e </w:t>
      </w:r>
      <w:r>
        <w:rPr>
          <w:rFonts w:ascii="Gill Sans MT" w:hAnsi="Gill Sans MT" w:cs="Times New Roman"/>
          <w:bCs/>
        </w:rPr>
        <w:t xml:space="preserve">a diminuição </w:t>
      </w:r>
      <w:r w:rsidRPr="00E60FE9">
        <w:rPr>
          <w:rFonts w:ascii="Gill Sans MT" w:hAnsi="Gill Sans MT" w:cs="Times New Roman"/>
          <w:bCs/>
        </w:rPr>
        <w:t>das importações de bens</w:t>
      </w:r>
      <w:r>
        <w:rPr>
          <w:rFonts w:ascii="Gill Sans MT" w:hAnsi="Gill Sans MT" w:cs="Times New Roman"/>
          <w:bCs/>
        </w:rPr>
        <w:t xml:space="preserve"> (bens de consumo e combustíveis).</w:t>
      </w:r>
    </w:p>
    <w:p w14:paraId="1FFD8C51" w14:textId="0E830F42" w:rsidR="00122B3A" w:rsidRPr="005D7E3E" w:rsidRDefault="00122B3A" w:rsidP="00122B3A">
      <w:pPr>
        <w:spacing w:line="360" w:lineRule="auto"/>
        <w:jc w:val="both"/>
        <w:rPr>
          <w:rFonts w:ascii="Gill Sans MT" w:hAnsi="Gill Sans MT"/>
        </w:rPr>
      </w:pPr>
      <w:r w:rsidRPr="005D7E3E">
        <w:rPr>
          <w:rFonts w:ascii="Gill Sans MT" w:hAnsi="Gill Sans MT"/>
        </w:rPr>
        <w:t xml:space="preserve">No tocante </w:t>
      </w:r>
      <w:r w:rsidR="00533A99">
        <w:rPr>
          <w:rFonts w:ascii="Gill Sans MT" w:hAnsi="Gill Sans MT"/>
        </w:rPr>
        <w:t>à</w:t>
      </w:r>
      <w:r w:rsidRPr="005D7E3E">
        <w:rPr>
          <w:rFonts w:ascii="Gill Sans MT" w:hAnsi="Gill Sans MT"/>
        </w:rPr>
        <w:t>s Finanças Públicas, o défice global acelerou, provisoriamente, para 8,</w:t>
      </w:r>
      <w:r>
        <w:rPr>
          <w:rFonts w:ascii="Gill Sans MT" w:hAnsi="Gill Sans MT"/>
        </w:rPr>
        <w:t>9</w:t>
      </w:r>
      <w:r w:rsidRPr="005D7E3E">
        <w:rPr>
          <w:rFonts w:ascii="Gill Sans MT" w:hAnsi="Gill Sans MT"/>
        </w:rPr>
        <w:t xml:space="preserve">% do PIB projetado, incrementando 7,0 p.p., face ao período homólogo. O saldo corrente primário atingiu o valor negativo de 10.996,0 milhões de CVE (deficit de 6,5% do PIB), refletindo a execução das receitas totais (-23,8%), das despesas totais (+1,8%) e dos ativos não financeiros (-41,1%). </w:t>
      </w:r>
    </w:p>
    <w:p w14:paraId="5CFCB167" w14:textId="77777777" w:rsidR="00122B3A" w:rsidRPr="005D7E3E" w:rsidRDefault="00122B3A" w:rsidP="00122B3A">
      <w:pPr>
        <w:spacing w:line="360" w:lineRule="auto"/>
        <w:jc w:val="both"/>
        <w:rPr>
          <w:rFonts w:ascii="Gill Sans MT" w:hAnsi="Gill Sans MT"/>
        </w:rPr>
      </w:pPr>
      <w:r w:rsidRPr="005D7E3E">
        <w:rPr>
          <w:rFonts w:ascii="Gill Sans MT" w:hAnsi="Gill Sans MT"/>
        </w:rPr>
        <w:t>No plano monetário, tem-se que a massa monetária cresceu 4,1%, devido essencialmente ao aumento dos ativos internos líquidos (+14,6%). O crédito à economia cresceu</w:t>
      </w:r>
      <w:r w:rsidRPr="005D7E3E" w:rsidDel="00EF53BA">
        <w:rPr>
          <w:rFonts w:ascii="Gill Sans MT" w:hAnsi="Gill Sans MT"/>
        </w:rPr>
        <w:t xml:space="preserve"> </w:t>
      </w:r>
      <w:r w:rsidRPr="005D7E3E">
        <w:rPr>
          <w:rFonts w:ascii="Gill Sans MT" w:hAnsi="Gill Sans MT"/>
        </w:rPr>
        <w:t xml:space="preserve">4,8%, tendo particularmente o crédito ao setor privado crescido 5,3%, refletindo a dinâmica da linha de crédito Covid-19.  </w:t>
      </w:r>
    </w:p>
    <w:p w14:paraId="652E9C2D" w14:textId="77777777" w:rsidR="00122B3A" w:rsidRDefault="00122B3A" w:rsidP="00122B3A">
      <w:pPr>
        <w:jc w:val="both"/>
      </w:pPr>
    </w:p>
    <w:p w14:paraId="4A038215" w14:textId="77777777" w:rsidR="00122B3A" w:rsidRDefault="00122B3A" w:rsidP="00A6266B">
      <w:pPr>
        <w:spacing w:line="360" w:lineRule="auto"/>
        <w:jc w:val="both"/>
        <w:rPr>
          <w:rFonts w:ascii="Gill Sans MT" w:hAnsi="Gill Sans MT" w:cs="Arial"/>
          <w:bCs/>
        </w:rPr>
      </w:pPr>
    </w:p>
    <w:p w14:paraId="4957AD6E" w14:textId="77777777" w:rsidR="00E9770B" w:rsidRDefault="00E9770B">
      <w:pPr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br w:type="page"/>
      </w:r>
    </w:p>
    <w:p w14:paraId="416C1CFC" w14:textId="381971AC" w:rsidR="00B954D0" w:rsidRPr="00B954D0" w:rsidRDefault="00B954D0" w:rsidP="00B954D0">
      <w:pPr>
        <w:pStyle w:val="PargrafodaLista"/>
        <w:numPr>
          <w:ilvl w:val="0"/>
          <w:numId w:val="21"/>
        </w:numPr>
        <w:spacing w:after="200" w:line="480" w:lineRule="auto"/>
        <w:outlineLvl w:val="1"/>
        <w:rPr>
          <w:rFonts w:ascii="Gill Sans MT" w:hAnsi="Gill Sans MT"/>
          <w:b/>
          <w:color w:val="323E4F" w:themeColor="text2" w:themeShade="BF"/>
        </w:rPr>
      </w:pPr>
      <w:bookmarkStart w:id="0" w:name="_Toc65659053"/>
      <w:r w:rsidRPr="00B954D0">
        <w:rPr>
          <w:rFonts w:ascii="Gill Sans MT" w:hAnsi="Gill Sans MT"/>
          <w:b/>
          <w:color w:val="323E4F" w:themeColor="text2" w:themeShade="BF"/>
        </w:rPr>
        <w:lastRenderedPageBreak/>
        <w:t>Con</w:t>
      </w:r>
      <w:r>
        <w:rPr>
          <w:rFonts w:ascii="Gill Sans MT" w:hAnsi="Gill Sans MT"/>
          <w:b/>
          <w:color w:val="323E4F" w:themeColor="text2" w:themeShade="BF"/>
        </w:rPr>
        <w:t>texto Externo</w:t>
      </w:r>
      <w:bookmarkEnd w:id="0"/>
    </w:p>
    <w:p w14:paraId="0B03581C" w14:textId="5FCE15BD" w:rsidR="000C7913" w:rsidRPr="000C7913" w:rsidRDefault="000C7913" w:rsidP="000C7913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0C7913">
        <w:rPr>
          <w:rFonts w:ascii="Gill Sans MT" w:hAnsi="Gill Sans MT" w:cs="Arial"/>
          <w:bCs/>
        </w:rPr>
        <w:t>No ano de 2020</w:t>
      </w:r>
      <w:r w:rsidR="00B13A22">
        <w:rPr>
          <w:rFonts w:ascii="Gill Sans MT" w:hAnsi="Gill Sans MT" w:cs="Arial"/>
          <w:bCs/>
        </w:rPr>
        <w:t xml:space="preserve"> a</w:t>
      </w:r>
      <w:r w:rsidRPr="000C7913">
        <w:rPr>
          <w:rFonts w:ascii="Gill Sans MT" w:hAnsi="Gill Sans MT" w:cs="Arial"/>
          <w:bCs/>
        </w:rPr>
        <w:t xml:space="preserve"> </w:t>
      </w:r>
      <w:r w:rsidR="00E36FCC">
        <w:rPr>
          <w:rFonts w:ascii="Gill Sans MT" w:hAnsi="Gill Sans MT" w:cs="Arial"/>
          <w:bCs/>
        </w:rPr>
        <w:t>economia mundial</w:t>
      </w:r>
      <w:r w:rsidRPr="000C7913">
        <w:rPr>
          <w:rFonts w:ascii="Gill Sans MT" w:hAnsi="Gill Sans MT" w:cs="Arial"/>
          <w:bCs/>
        </w:rPr>
        <w:t xml:space="preserve"> entrou numa crise sanitária sem precedentes, devido </w:t>
      </w:r>
      <w:r w:rsidR="00533A99">
        <w:rPr>
          <w:rFonts w:ascii="Gill Sans MT" w:hAnsi="Gill Sans MT" w:cs="Arial"/>
          <w:bCs/>
        </w:rPr>
        <w:t>à</w:t>
      </w:r>
      <w:r w:rsidRPr="000C7913">
        <w:rPr>
          <w:rFonts w:ascii="Gill Sans MT" w:hAnsi="Gill Sans MT" w:cs="Arial"/>
          <w:bCs/>
        </w:rPr>
        <w:t xml:space="preserve"> pandemia da </w:t>
      </w:r>
      <w:r w:rsidR="00B33AE5" w:rsidRPr="000C7913">
        <w:rPr>
          <w:rFonts w:ascii="Gill Sans MT" w:hAnsi="Gill Sans MT" w:cs="Arial"/>
          <w:bCs/>
        </w:rPr>
        <w:t>COVID</w:t>
      </w:r>
      <w:r w:rsidRPr="000C7913">
        <w:rPr>
          <w:rFonts w:ascii="Gill Sans MT" w:hAnsi="Gill Sans MT" w:cs="Arial"/>
          <w:bCs/>
        </w:rPr>
        <w:t xml:space="preserve">-19, com desequilíbrios persistentes para todas as economias. A magnitude da crise, causou a maior recessão desde a </w:t>
      </w:r>
      <w:r w:rsidR="00B17CE6">
        <w:rPr>
          <w:rFonts w:ascii="Gill Sans MT" w:hAnsi="Gill Sans MT" w:cs="Arial"/>
          <w:bCs/>
        </w:rPr>
        <w:t>grande depressão</w:t>
      </w:r>
      <w:r w:rsidRPr="000C7913">
        <w:rPr>
          <w:rFonts w:ascii="Gill Sans MT" w:hAnsi="Gill Sans MT" w:cs="Arial"/>
          <w:bCs/>
        </w:rPr>
        <w:t xml:space="preserve">, </w:t>
      </w:r>
      <w:r w:rsidRPr="00B86482">
        <w:rPr>
          <w:rFonts w:ascii="Gill Sans MT" w:hAnsi="Gill Sans MT" w:cs="Arial"/>
          <w:bCs/>
        </w:rPr>
        <w:t xml:space="preserve">provocando forte queda do comércio </w:t>
      </w:r>
      <w:r w:rsidR="00C8224F">
        <w:rPr>
          <w:rFonts w:ascii="Gill Sans MT" w:hAnsi="Gill Sans MT" w:cs="Arial"/>
          <w:bCs/>
        </w:rPr>
        <w:t>mundial</w:t>
      </w:r>
      <w:r w:rsidRPr="00B86482">
        <w:rPr>
          <w:rFonts w:ascii="Gill Sans MT" w:hAnsi="Gill Sans MT" w:cs="Arial"/>
          <w:bCs/>
        </w:rPr>
        <w:t>, condicionalismos</w:t>
      </w:r>
      <w:r w:rsidR="00533A99" w:rsidRPr="000C7913">
        <w:rPr>
          <w:rFonts w:ascii="Gill Sans MT" w:hAnsi="Gill Sans MT" w:cs="Arial"/>
          <w:bCs/>
        </w:rPr>
        <w:t xml:space="preserve"> </w:t>
      </w:r>
      <w:r w:rsidR="00533A99">
        <w:rPr>
          <w:rFonts w:ascii="Gill Sans MT" w:hAnsi="Gill Sans MT" w:cs="Arial"/>
          <w:bCs/>
        </w:rPr>
        <w:t>à</w:t>
      </w:r>
      <w:r w:rsidRPr="00B86482">
        <w:rPr>
          <w:rFonts w:ascii="Gill Sans MT" w:hAnsi="Gill Sans MT" w:cs="Arial"/>
          <w:bCs/>
        </w:rPr>
        <w:t xml:space="preserve"> movimentação de pessoas e mercadorias, paralisação de negócios e ind</w:t>
      </w:r>
      <w:r w:rsidR="00B33AE5">
        <w:rPr>
          <w:rFonts w:ascii="Gill Sans MT" w:hAnsi="Gill Sans MT" w:cs="Arial"/>
          <w:bCs/>
        </w:rPr>
        <w:t>ú</w:t>
      </w:r>
      <w:r w:rsidRPr="00B86482">
        <w:rPr>
          <w:rFonts w:ascii="Gill Sans MT" w:hAnsi="Gill Sans MT" w:cs="Arial"/>
          <w:bCs/>
        </w:rPr>
        <w:t>stria</w:t>
      </w:r>
      <w:r w:rsidR="00E36FCC">
        <w:rPr>
          <w:rFonts w:ascii="Gill Sans MT" w:hAnsi="Gill Sans MT" w:cs="Arial"/>
          <w:bCs/>
        </w:rPr>
        <w:t xml:space="preserve">s, </w:t>
      </w:r>
      <w:r w:rsidRPr="000C7913">
        <w:rPr>
          <w:rFonts w:ascii="Gill Sans MT" w:hAnsi="Gill Sans MT" w:cs="Arial"/>
          <w:bCs/>
        </w:rPr>
        <w:t>originando flutuações significativas no preço d</w:t>
      </w:r>
      <w:r w:rsidR="00C8224F">
        <w:rPr>
          <w:rFonts w:ascii="Gill Sans MT" w:hAnsi="Gill Sans MT" w:cs="Arial"/>
          <w:bCs/>
        </w:rPr>
        <w:t>a</w:t>
      </w:r>
      <w:r w:rsidRPr="000C7913">
        <w:rPr>
          <w:rFonts w:ascii="Gill Sans MT" w:hAnsi="Gill Sans MT" w:cs="Arial"/>
          <w:bCs/>
        </w:rPr>
        <w:t xml:space="preserve">s </w:t>
      </w:r>
      <w:proofErr w:type="spellStart"/>
      <w:r w:rsidRPr="0071471F">
        <w:rPr>
          <w:rFonts w:ascii="Gill Sans MT" w:hAnsi="Gill Sans MT" w:cs="Arial"/>
          <w:bCs/>
          <w:i/>
        </w:rPr>
        <w:t>commodit</w:t>
      </w:r>
      <w:r w:rsidR="003F5089" w:rsidRPr="0071471F">
        <w:rPr>
          <w:rFonts w:ascii="Gill Sans MT" w:hAnsi="Gill Sans MT" w:cs="Arial"/>
          <w:bCs/>
          <w:i/>
        </w:rPr>
        <w:t>i</w:t>
      </w:r>
      <w:r w:rsidRPr="0071471F">
        <w:rPr>
          <w:rFonts w:ascii="Gill Sans MT" w:hAnsi="Gill Sans MT" w:cs="Arial"/>
          <w:bCs/>
          <w:i/>
        </w:rPr>
        <w:t>es</w:t>
      </w:r>
      <w:proofErr w:type="spellEnd"/>
      <w:r w:rsidRPr="000C7913">
        <w:rPr>
          <w:rFonts w:ascii="Gill Sans MT" w:hAnsi="Gill Sans MT" w:cs="Arial"/>
          <w:bCs/>
        </w:rPr>
        <w:t xml:space="preserve"> e nas taxas de câmbio. De acordo com o Outlook de janeiro de 2021 do Fundo Monetário Internacional (FMI)</w:t>
      </w:r>
      <w:r w:rsidR="00B17CE6">
        <w:rPr>
          <w:rFonts w:ascii="Gill Sans MT" w:hAnsi="Gill Sans MT" w:cs="Arial"/>
          <w:bCs/>
        </w:rPr>
        <w:t>,</w:t>
      </w:r>
      <w:r w:rsidRPr="000C7913">
        <w:rPr>
          <w:rFonts w:ascii="Gill Sans MT" w:hAnsi="Gill Sans MT" w:cs="Arial"/>
          <w:bCs/>
        </w:rPr>
        <w:t xml:space="preserve"> a economia mundial </w:t>
      </w:r>
      <w:r w:rsidR="00312D58">
        <w:rPr>
          <w:rFonts w:ascii="Gill Sans MT" w:hAnsi="Gill Sans MT" w:cs="Arial"/>
          <w:bCs/>
        </w:rPr>
        <w:t>contrai</w:t>
      </w:r>
      <w:r w:rsidR="00C8224F">
        <w:rPr>
          <w:rFonts w:ascii="Gill Sans MT" w:hAnsi="Gill Sans MT" w:cs="Arial"/>
          <w:bCs/>
        </w:rPr>
        <w:t>u</w:t>
      </w:r>
      <w:r w:rsidR="00312D58" w:rsidRPr="000C7913">
        <w:rPr>
          <w:rFonts w:ascii="Gill Sans MT" w:hAnsi="Gill Sans MT" w:cs="Arial"/>
          <w:bCs/>
        </w:rPr>
        <w:t xml:space="preserve"> </w:t>
      </w:r>
      <w:r w:rsidRPr="000C7913">
        <w:rPr>
          <w:rFonts w:ascii="Gill Sans MT" w:hAnsi="Gill Sans MT" w:cs="Arial"/>
          <w:bCs/>
        </w:rPr>
        <w:t>3,5% em 2020</w:t>
      </w:r>
      <w:r w:rsidR="00B33AE5">
        <w:rPr>
          <w:rFonts w:ascii="Gill Sans MT" w:hAnsi="Gill Sans MT" w:cs="Arial"/>
          <w:bCs/>
        </w:rPr>
        <w:t>, após ter crescido em cerca de</w:t>
      </w:r>
      <w:r w:rsidRPr="000C7913">
        <w:rPr>
          <w:rFonts w:ascii="Gill Sans MT" w:hAnsi="Gill Sans MT" w:cs="Arial"/>
          <w:bCs/>
        </w:rPr>
        <w:t xml:space="preserve"> 2,8% </w:t>
      </w:r>
      <w:r w:rsidR="00B33AE5">
        <w:rPr>
          <w:rFonts w:ascii="Gill Sans MT" w:hAnsi="Gill Sans MT" w:cs="Arial"/>
          <w:bCs/>
        </w:rPr>
        <w:t>em</w:t>
      </w:r>
      <w:r w:rsidRPr="000C7913">
        <w:rPr>
          <w:rFonts w:ascii="Gill Sans MT" w:hAnsi="Gill Sans MT" w:cs="Arial"/>
          <w:bCs/>
        </w:rPr>
        <w:t xml:space="preserve"> 2019, espelhando os choques na oferta e na procura</w:t>
      </w:r>
      <w:r w:rsidR="00C8224F">
        <w:rPr>
          <w:rFonts w:ascii="Gill Sans MT" w:hAnsi="Gill Sans MT" w:cs="Arial"/>
          <w:bCs/>
        </w:rPr>
        <w:t>, devido à pandemia da Covid-19</w:t>
      </w:r>
    </w:p>
    <w:p w14:paraId="20A9A622" w14:textId="0024E27C" w:rsidR="000C7913" w:rsidRDefault="000C7913" w:rsidP="001D039D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0C7913">
        <w:rPr>
          <w:rFonts w:ascii="Gill Sans MT" w:hAnsi="Gill Sans MT" w:cs="Arial"/>
          <w:bCs/>
        </w:rPr>
        <w:t xml:space="preserve">As economias avançadas </w:t>
      </w:r>
      <w:r w:rsidR="00312D58">
        <w:rPr>
          <w:rFonts w:ascii="Gill Sans MT" w:hAnsi="Gill Sans MT" w:cs="Arial"/>
          <w:bCs/>
        </w:rPr>
        <w:t xml:space="preserve">deverão </w:t>
      </w:r>
      <w:r w:rsidRPr="000C7913">
        <w:rPr>
          <w:rFonts w:ascii="Gill Sans MT" w:hAnsi="Gill Sans MT" w:cs="Arial"/>
          <w:bCs/>
        </w:rPr>
        <w:t>registar uma queda de 4,9% (-6,5 p.p. face ao ano anterior de 2019), refletindo as performances menos conseguidas das principais pot</w:t>
      </w:r>
      <w:r w:rsidR="00B33AE5">
        <w:rPr>
          <w:rFonts w:ascii="Gill Sans MT" w:hAnsi="Gill Sans MT" w:cs="Arial"/>
          <w:bCs/>
        </w:rPr>
        <w:t>ê</w:t>
      </w:r>
      <w:r w:rsidRPr="000C7913">
        <w:rPr>
          <w:rFonts w:ascii="Gill Sans MT" w:hAnsi="Gill Sans MT" w:cs="Arial"/>
          <w:bCs/>
        </w:rPr>
        <w:t>ncias</w:t>
      </w:r>
      <w:r w:rsidR="00C8224F">
        <w:rPr>
          <w:rFonts w:ascii="Gill Sans MT" w:hAnsi="Gill Sans MT" w:cs="Arial"/>
          <w:bCs/>
        </w:rPr>
        <w:t>, nomeadamente,</w:t>
      </w:r>
      <w:r w:rsidRPr="000C7913">
        <w:rPr>
          <w:rFonts w:ascii="Gill Sans MT" w:hAnsi="Gill Sans MT" w:cs="Arial"/>
          <w:bCs/>
        </w:rPr>
        <w:t xml:space="preserve"> Estados Unidos </w:t>
      </w:r>
      <w:r w:rsidR="00312D58">
        <w:rPr>
          <w:rFonts w:ascii="Gill Sans MT" w:hAnsi="Gill Sans MT" w:cs="Arial"/>
          <w:bCs/>
        </w:rPr>
        <w:t>da América</w:t>
      </w:r>
      <w:r w:rsidR="00312D58" w:rsidRPr="00EB2F72">
        <w:rPr>
          <w:rFonts w:ascii="Gill Sans MT" w:hAnsi="Gill Sans MT" w:cs="Arial"/>
          <w:bCs/>
        </w:rPr>
        <w:t xml:space="preserve"> </w:t>
      </w:r>
      <w:r w:rsidR="00312D58">
        <w:rPr>
          <w:rFonts w:ascii="Gill Sans MT" w:hAnsi="Gill Sans MT" w:cs="Arial"/>
          <w:bCs/>
        </w:rPr>
        <w:t xml:space="preserve">(EUA) </w:t>
      </w:r>
      <w:r w:rsidRPr="000C7913">
        <w:rPr>
          <w:rFonts w:ascii="Gill Sans MT" w:hAnsi="Gill Sans MT" w:cs="Arial"/>
          <w:bCs/>
        </w:rPr>
        <w:t>(-3,4%), Zona Euro (-7,2%) e Reino Unido (-10,0%). Nas economias emergentes e em desenvolvimento</w:t>
      </w:r>
      <w:r w:rsidR="00533A99">
        <w:rPr>
          <w:rFonts w:ascii="Gill Sans MT" w:hAnsi="Gill Sans MT" w:cs="Arial"/>
          <w:bCs/>
        </w:rPr>
        <w:t>,</w:t>
      </w:r>
      <w:r w:rsidRPr="000C7913">
        <w:rPr>
          <w:rFonts w:ascii="Gill Sans MT" w:hAnsi="Gill Sans MT" w:cs="Arial"/>
          <w:bCs/>
        </w:rPr>
        <w:t xml:space="preserve"> estima-se uma queda de 2,4% (-6,0 p.p. face ao ano anterior)</w:t>
      </w:r>
      <w:r w:rsidR="00C12988">
        <w:rPr>
          <w:rFonts w:ascii="Gill Sans MT" w:hAnsi="Gill Sans MT" w:cs="Arial"/>
          <w:bCs/>
        </w:rPr>
        <w:t>. P</w:t>
      </w:r>
      <w:r w:rsidRPr="000C7913">
        <w:rPr>
          <w:rFonts w:ascii="Gill Sans MT" w:hAnsi="Gill Sans MT" w:cs="Arial"/>
          <w:bCs/>
        </w:rPr>
        <w:t xml:space="preserve">or sua vez, </w:t>
      </w:r>
      <w:r w:rsidR="00C8224F">
        <w:rPr>
          <w:rFonts w:ascii="Gill Sans MT" w:hAnsi="Gill Sans MT" w:cs="Arial"/>
          <w:bCs/>
        </w:rPr>
        <w:t>n</w:t>
      </w:r>
      <w:r w:rsidRPr="000C7913">
        <w:rPr>
          <w:rFonts w:ascii="Gill Sans MT" w:hAnsi="Gill Sans MT" w:cs="Arial"/>
          <w:bCs/>
        </w:rPr>
        <w:t xml:space="preserve">a região da África Subsaariana </w:t>
      </w:r>
      <w:r w:rsidR="00312D58">
        <w:rPr>
          <w:rFonts w:ascii="Gill Sans MT" w:hAnsi="Gill Sans MT" w:cs="Arial"/>
          <w:bCs/>
        </w:rPr>
        <w:t>a expectativa</w:t>
      </w:r>
      <w:r w:rsidR="00C8224F">
        <w:rPr>
          <w:rFonts w:ascii="Gill Sans MT" w:hAnsi="Gill Sans MT" w:cs="Arial"/>
          <w:bCs/>
        </w:rPr>
        <w:t xml:space="preserve"> mostra uma</w:t>
      </w:r>
      <w:r w:rsidR="00312D58">
        <w:rPr>
          <w:rFonts w:ascii="Gill Sans MT" w:hAnsi="Gill Sans MT" w:cs="Arial"/>
          <w:bCs/>
        </w:rPr>
        <w:t xml:space="preserve"> </w:t>
      </w:r>
      <w:r w:rsidRPr="000C7913">
        <w:rPr>
          <w:rFonts w:ascii="Gill Sans MT" w:hAnsi="Gill Sans MT" w:cs="Arial"/>
          <w:bCs/>
        </w:rPr>
        <w:t>contra</w:t>
      </w:r>
      <w:r w:rsidR="00C8224F">
        <w:rPr>
          <w:rFonts w:ascii="Gill Sans MT" w:hAnsi="Gill Sans MT" w:cs="Arial"/>
          <w:bCs/>
        </w:rPr>
        <w:t>ção</w:t>
      </w:r>
      <w:r w:rsidRPr="000C7913">
        <w:rPr>
          <w:rFonts w:ascii="Gill Sans MT" w:hAnsi="Gill Sans MT" w:cs="Arial"/>
          <w:bCs/>
        </w:rPr>
        <w:t xml:space="preserve"> </w:t>
      </w:r>
      <w:r w:rsidR="00C8224F">
        <w:rPr>
          <w:rFonts w:ascii="Gill Sans MT" w:hAnsi="Gill Sans MT" w:cs="Arial"/>
          <w:bCs/>
        </w:rPr>
        <w:t xml:space="preserve">de </w:t>
      </w:r>
      <w:r w:rsidRPr="000C7913">
        <w:rPr>
          <w:rFonts w:ascii="Gill Sans MT" w:hAnsi="Gill Sans MT" w:cs="Arial"/>
          <w:bCs/>
        </w:rPr>
        <w:t xml:space="preserve">2,6% (-5,8 p.p. face ao ano anterior de 2019). </w:t>
      </w:r>
    </w:p>
    <w:p w14:paraId="65973C07" w14:textId="77777777" w:rsidR="00463B73" w:rsidRPr="00463B73" w:rsidRDefault="00463B73" w:rsidP="00463B73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463B73">
        <w:rPr>
          <w:rFonts w:ascii="Gill Sans MT" w:eastAsia="Calibri" w:hAnsi="Gill Sans MT" w:cs="Times New Roman"/>
          <w:b/>
          <w:bCs/>
        </w:rPr>
        <w:t>Tabela 1 – Evolução do Crescimento Economico Mundial</w:t>
      </w:r>
    </w:p>
    <w:p w14:paraId="75E6C004" w14:textId="304D769C" w:rsidR="00463B73" w:rsidRPr="00463B73" w:rsidRDefault="00E1052E" w:rsidP="00227E7E">
      <w:pPr>
        <w:spacing w:after="0" w:line="240" w:lineRule="auto"/>
        <w:ind w:right="62"/>
        <w:jc w:val="center"/>
        <w:rPr>
          <w:rFonts w:ascii="Gill Sans MT" w:hAnsi="Gill Sans MT" w:cs="Arial"/>
          <w:bCs/>
        </w:rPr>
      </w:pPr>
      <w:r w:rsidRPr="00E1052E">
        <w:rPr>
          <w:noProof/>
          <w:lang w:eastAsia="pt-PT"/>
        </w:rPr>
        <w:drawing>
          <wp:inline distT="0" distB="0" distL="0" distR="0" wp14:anchorId="73069FC5" wp14:editId="67487FE4">
            <wp:extent cx="4087504" cy="2223870"/>
            <wp:effectExtent l="0" t="0" r="8255" b="508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57" cy="22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53BD" w14:textId="77777777" w:rsidR="00463B73" w:rsidRPr="004D46A8" w:rsidRDefault="00463B73" w:rsidP="00463B73">
      <w:pPr>
        <w:spacing w:after="0" w:line="240" w:lineRule="auto"/>
        <w:jc w:val="center"/>
        <w:rPr>
          <w:noProof/>
        </w:rPr>
      </w:pPr>
      <w:r w:rsidRPr="004D46A8">
        <w:rPr>
          <w:b/>
          <w:noProof/>
        </w:rPr>
        <w:t>Fonte:</w:t>
      </w:r>
      <w:r w:rsidRPr="004D46A8">
        <w:rPr>
          <w:noProof/>
        </w:rPr>
        <w:t xml:space="preserve"> FMI (WEO, outubro de 2020).</w:t>
      </w:r>
    </w:p>
    <w:p w14:paraId="4F920C50" w14:textId="3F69303F" w:rsidR="00EB2F72" w:rsidRPr="00EB2F72" w:rsidRDefault="00EB2F72" w:rsidP="00EB2F72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EB2F72">
        <w:rPr>
          <w:rFonts w:ascii="Gill Sans MT" w:hAnsi="Gill Sans MT" w:cs="Arial"/>
          <w:bCs/>
        </w:rPr>
        <w:t>A nível d</w:t>
      </w:r>
      <w:r w:rsidR="00C8224F">
        <w:rPr>
          <w:rFonts w:ascii="Gill Sans MT" w:hAnsi="Gill Sans MT" w:cs="Arial"/>
          <w:bCs/>
        </w:rPr>
        <w:t xml:space="preserve">as estatísticas </w:t>
      </w:r>
      <w:r w:rsidRPr="00EB2F72">
        <w:rPr>
          <w:rFonts w:ascii="Gill Sans MT" w:hAnsi="Gill Sans MT" w:cs="Arial"/>
          <w:bCs/>
        </w:rPr>
        <w:t xml:space="preserve"> trimestr</w:t>
      </w:r>
      <w:r w:rsidR="00C8224F">
        <w:rPr>
          <w:rFonts w:ascii="Gill Sans MT" w:hAnsi="Gill Sans MT" w:cs="Arial"/>
          <w:bCs/>
        </w:rPr>
        <w:t>ais, no quarto trimestre</w:t>
      </w:r>
      <w:r w:rsidRPr="00EB2F72">
        <w:rPr>
          <w:rFonts w:ascii="Gill Sans MT" w:hAnsi="Gill Sans MT" w:cs="Arial"/>
          <w:bCs/>
        </w:rPr>
        <w:t xml:space="preserve">, os dados provisórios do Bureau </w:t>
      </w:r>
      <w:proofErr w:type="spellStart"/>
      <w:r w:rsidRPr="00EB2F72">
        <w:rPr>
          <w:rFonts w:ascii="Gill Sans MT" w:hAnsi="Gill Sans MT" w:cs="Arial"/>
          <w:bCs/>
        </w:rPr>
        <w:t>of</w:t>
      </w:r>
      <w:proofErr w:type="spellEnd"/>
      <w:r w:rsidRPr="00EB2F72">
        <w:rPr>
          <w:rFonts w:ascii="Gill Sans MT" w:hAnsi="Gill Sans MT" w:cs="Arial"/>
          <w:bCs/>
        </w:rPr>
        <w:t xml:space="preserve"> </w:t>
      </w:r>
      <w:proofErr w:type="spellStart"/>
      <w:r w:rsidRPr="00EB2F72">
        <w:rPr>
          <w:rFonts w:ascii="Gill Sans MT" w:hAnsi="Gill Sans MT" w:cs="Arial"/>
          <w:bCs/>
        </w:rPr>
        <w:t>Economic</w:t>
      </w:r>
      <w:proofErr w:type="spellEnd"/>
      <w:r w:rsidRPr="00EB2F72">
        <w:rPr>
          <w:rFonts w:ascii="Gill Sans MT" w:hAnsi="Gill Sans MT" w:cs="Arial"/>
          <w:bCs/>
        </w:rPr>
        <w:t xml:space="preserve"> </w:t>
      </w:r>
      <w:proofErr w:type="spellStart"/>
      <w:r w:rsidRPr="00EB2F72">
        <w:rPr>
          <w:rFonts w:ascii="Gill Sans MT" w:hAnsi="Gill Sans MT" w:cs="Arial"/>
          <w:bCs/>
        </w:rPr>
        <w:t>Analysis</w:t>
      </w:r>
      <w:proofErr w:type="spellEnd"/>
      <w:r w:rsidRPr="00EB2F72">
        <w:rPr>
          <w:rFonts w:ascii="Gill Sans MT" w:hAnsi="Gill Sans MT" w:cs="Arial"/>
          <w:bCs/>
        </w:rPr>
        <w:t xml:space="preserve">, apontam para uma queda de 2,5% da economia </w:t>
      </w:r>
      <w:r w:rsidR="00312D58">
        <w:rPr>
          <w:rFonts w:ascii="Gill Sans MT" w:hAnsi="Gill Sans MT" w:cs="Arial"/>
          <w:bCs/>
        </w:rPr>
        <w:t>dos EUA</w:t>
      </w:r>
      <w:r w:rsidR="00312D58" w:rsidRPr="00EB2F72">
        <w:rPr>
          <w:rFonts w:ascii="Gill Sans MT" w:hAnsi="Gill Sans MT" w:cs="Arial"/>
          <w:bCs/>
        </w:rPr>
        <w:t xml:space="preserve"> </w:t>
      </w:r>
      <w:r w:rsidRPr="00EB2F72">
        <w:rPr>
          <w:rFonts w:ascii="Gill Sans MT" w:hAnsi="Gill Sans MT" w:cs="Arial"/>
          <w:bCs/>
        </w:rPr>
        <w:t xml:space="preserve">(-4,8 p.p. face ao período </w:t>
      </w:r>
      <w:r w:rsidR="00312D58" w:rsidRPr="00EB2F72">
        <w:rPr>
          <w:rFonts w:ascii="Gill Sans MT" w:hAnsi="Gill Sans MT" w:cs="Arial"/>
          <w:bCs/>
        </w:rPr>
        <w:t>hom</w:t>
      </w:r>
      <w:r w:rsidR="00312D58">
        <w:rPr>
          <w:rFonts w:ascii="Gill Sans MT" w:hAnsi="Gill Sans MT" w:cs="Arial"/>
          <w:bCs/>
        </w:rPr>
        <w:t>ó</w:t>
      </w:r>
      <w:r w:rsidR="00312D58" w:rsidRPr="00EB2F72">
        <w:rPr>
          <w:rFonts w:ascii="Gill Sans MT" w:hAnsi="Gill Sans MT" w:cs="Arial"/>
          <w:bCs/>
        </w:rPr>
        <w:t>logo</w:t>
      </w:r>
      <w:r w:rsidRPr="00EB2F72">
        <w:rPr>
          <w:rFonts w:ascii="Gill Sans MT" w:hAnsi="Gill Sans MT" w:cs="Arial"/>
          <w:bCs/>
        </w:rPr>
        <w:t>), retratando a desaceleração do consumo das famílias (-2,6%), dos gastos públicos (-0,6%) e das exportações (-11,0%), conjugado com a redução das importações (-0,6%) e o aumento do inv</w:t>
      </w:r>
      <w:r w:rsidR="00B14DBE">
        <w:rPr>
          <w:rFonts w:ascii="Gill Sans MT" w:hAnsi="Gill Sans MT" w:cs="Arial"/>
          <w:bCs/>
        </w:rPr>
        <w:t>estimento privado (3,2%), esse ú</w:t>
      </w:r>
      <w:r w:rsidRPr="00EB2F72">
        <w:rPr>
          <w:rFonts w:ascii="Gill Sans MT" w:hAnsi="Gill Sans MT" w:cs="Arial"/>
          <w:bCs/>
        </w:rPr>
        <w:t xml:space="preserve">ltimo </w:t>
      </w:r>
      <w:r w:rsidR="00312D58">
        <w:rPr>
          <w:rFonts w:ascii="Gill Sans MT" w:hAnsi="Gill Sans MT" w:cs="Arial"/>
          <w:bCs/>
        </w:rPr>
        <w:t>derivado do</w:t>
      </w:r>
      <w:r w:rsidRPr="00EB2F72">
        <w:rPr>
          <w:rFonts w:ascii="Gill Sans MT" w:hAnsi="Gill Sans MT" w:cs="Arial"/>
          <w:bCs/>
        </w:rPr>
        <w:t xml:space="preserve"> crescimento do </w:t>
      </w:r>
      <w:commentRangeStart w:id="1"/>
      <w:r w:rsidRPr="00122B3A">
        <w:rPr>
          <w:rFonts w:ascii="Gill Sans MT" w:hAnsi="Gill Sans MT" w:cs="Arial"/>
          <w:bCs/>
          <w:highlight w:val="yellow"/>
        </w:rPr>
        <w:t xml:space="preserve">investimento fixo </w:t>
      </w:r>
      <w:commentRangeEnd w:id="1"/>
      <w:r w:rsidR="00C8224F" w:rsidRPr="00122B3A">
        <w:rPr>
          <w:rStyle w:val="Refdecomentrio"/>
          <w:highlight w:val="yellow"/>
        </w:rPr>
        <w:commentReference w:id="1"/>
      </w:r>
      <w:r w:rsidRPr="00EB2F72">
        <w:rPr>
          <w:rFonts w:ascii="Gill Sans MT" w:hAnsi="Gill Sans MT" w:cs="Arial"/>
          <w:bCs/>
        </w:rPr>
        <w:t xml:space="preserve">(2,1%) e do </w:t>
      </w:r>
      <w:r w:rsidRPr="00122B3A">
        <w:rPr>
          <w:rFonts w:ascii="Gill Sans MT" w:hAnsi="Gill Sans MT" w:cs="Arial"/>
          <w:bCs/>
          <w:highlight w:val="yellow"/>
        </w:rPr>
        <w:t xml:space="preserve">investimento </w:t>
      </w:r>
      <w:r w:rsidR="00122B3A">
        <w:rPr>
          <w:rFonts w:ascii="Gill Sans MT" w:hAnsi="Gill Sans MT" w:cs="Arial"/>
          <w:bCs/>
        </w:rPr>
        <w:t>em habitação</w:t>
      </w:r>
      <w:r w:rsidR="00122B3A" w:rsidRPr="00EB2F72">
        <w:rPr>
          <w:rFonts w:ascii="Gill Sans MT" w:hAnsi="Gill Sans MT" w:cs="Arial"/>
          <w:bCs/>
        </w:rPr>
        <w:t xml:space="preserve"> </w:t>
      </w:r>
      <w:r w:rsidRPr="00EB2F72">
        <w:rPr>
          <w:rFonts w:ascii="Gill Sans MT" w:hAnsi="Gill Sans MT" w:cs="Arial"/>
          <w:bCs/>
        </w:rPr>
        <w:t>(13,7%).</w:t>
      </w:r>
    </w:p>
    <w:p w14:paraId="30EF3839" w14:textId="1561AD86" w:rsidR="00EB2F72" w:rsidRPr="00EB2F72" w:rsidRDefault="00EB2F72" w:rsidP="00EB2F72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EB2F72">
        <w:rPr>
          <w:rFonts w:ascii="Gill Sans MT" w:hAnsi="Gill Sans MT" w:cs="Arial"/>
          <w:bCs/>
        </w:rPr>
        <w:t xml:space="preserve">Os efeitos da pandemia </w:t>
      </w:r>
      <w:r w:rsidR="000D3745">
        <w:rPr>
          <w:rFonts w:ascii="Gill Sans MT" w:hAnsi="Gill Sans MT" w:cs="Arial"/>
          <w:bCs/>
        </w:rPr>
        <w:t>foram</w:t>
      </w:r>
      <w:r w:rsidR="000D3745" w:rsidRPr="00EB2F72">
        <w:rPr>
          <w:rFonts w:ascii="Gill Sans MT" w:hAnsi="Gill Sans MT" w:cs="Arial"/>
          <w:bCs/>
        </w:rPr>
        <w:t xml:space="preserve"> </w:t>
      </w:r>
      <w:r w:rsidRPr="00EB2F72">
        <w:rPr>
          <w:rFonts w:ascii="Gill Sans MT" w:hAnsi="Gill Sans MT" w:cs="Arial"/>
          <w:bCs/>
        </w:rPr>
        <w:t xml:space="preserve">fortemente </w:t>
      </w:r>
      <w:r w:rsidR="000D3745">
        <w:rPr>
          <w:rFonts w:ascii="Gill Sans MT" w:hAnsi="Gill Sans MT" w:cs="Arial"/>
          <w:bCs/>
        </w:rPr>
        <w:t>transmitidos para o</w:t>
      </w:r>
      <w:r w:rsidR="000D3745" w:rsidRPr="00EB2F72">
        <w:rPr>
          <w:rFonts w:ascii="Gill Sans MT" w:hAnsi="Gill Sans MT" w:cs="Arial"/>
          <w:bCs/>
        </w:rPr>
        <w:t xml:space="preserve"> </w:t>
      </w:r>
      <w:r w:rsidRPr="00EB2F72">
        <w:rPr>
          <w:rFonts w:ascii="Gill Sans MT" w:hAnsi="Gill Sans MT" w:cs="Arial"/>
          <w:bCs/>
        </w:rPr>
        <w:t xml:space="preserve">mercado de trabalho na região, tendo o número de pessoas empregadas situado nos 7,9 milhões no quarto trimestre do ano, uma queda de </w:t>
      </w:r>
      <w:r w:rsidRPr="00EB2F72">
        <w:rPr>
          <w:rFonts w:ascii="Gill Sans MT" w:hAnsi="Gill Sans MT" w:cs="Arial"/>
          <w:bCs/>
        </w:rPr>
        <w:lastRenderedPageBreak/>
        <w:t xml:space="preserve">5,3% quando comparado com o período homologo, levando a um aumento da taxa de desemprego (6,8%). Pese embora, a renda disponível das famílias tenha aumentado no período (+4,3%), a taxa de inflação manteve </w:t>
      </w:r>
      <w:r w:rsidR="000D3745">
        <w:rPr>
          <w:rFonts w:ascii="Gill Sans MT" w:hAnsi="Gill Sans MT" w:cs="Arial"/>
          <w:bCs/>
        </w:rPr>
        <w:t>em nível baixo, situando-se</w:t>
      </w:r>
      <w:r w:rsidRPr="00EB2F72">
        <w:rPr>
          <w:rFonts w:ascii="Gill Sans MT" w:hAnsi="Gill Sans MT" w:cs="Arial"/>
          <w:bCs/>
        </w:rPr>
        <w:t xml:space="preserve"> em torno de 1,3% (-0,8 p.p. face ao período hom</w:t>
      </w:r>
      <w:r w:rsidR="000D3745">
        <w:rPr>
          <w:rFonts w:ascii="Gill Sans MT" w:hAnsi="Gill Sans MT" w:cs="Arial"/>
          <w:bCs/>
        </w:rPr>
        <w:t>ó</w:t>
      </w:r>
      <w:r w:rsidRPr="00EB2F72">
        <w:rPr>
          <w:rFonts w:ascii="Gill Sans MT" w:hAnsi="Gill Sans MT" w:cs="Arial"/>
          <w:bCs/>
        </w:rPr>
        <w:t>logo), justificado em grande parte pela menor procura derivada do c</w:t>
      </w:r>
      <w:r w:rsidR="00B14DBE">
        <w:rPr>
          <w:rFonts w:ascii="Gill Sans MT" w:hAnsi="Gill Sans MT" w:cs="Arial"/>
          <w:bCs/>
        </w:rPr>
        <w:t>onfinamento e condicionalismos à</w:t>
      </w:r>
      <w:r w:rsidRPr="00EB2F72">
        <w:rPr>
          <w:rFonts w:ascii="Gill Sans MT" w:hAnsi="Gill Sans MT" w:cs="Arial"/>
          <w:bCs/>
        </w:rPr>
        <w:t xml:space="preserve"> deslocação de pessoas.</w:t>
      </w:r>
    </w:p>
    <w:p w14:paraId="644CB068" w14:textId="0DF537C4" w:rsidR="00EB2F72" w:rsidRDefault="00E22554" w:rsidP="00EB2F72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B</w:t>
      </w:r>
      <w:r w:rsidRPr="00EB2F72">
        <w:rPr>
          <w:rFonts w:ascii="Gill Sans MT" w:hAnsi="Gill Sans MT" w:cs="Arial"/>
          <w:bCs/>
        </w:rPr>
        <w:t xml:space="preserve">uscando atingir o nível máximo de emprego e a taxa de inflação em </w:t>
      </w:r>
      <w:r>
        <w:rPr>
          <w:rFonts w:ascii="Gill Sans MT" w:hAnsi="Gill Sans MT" w:cs="Arial"/>
          <w:bCs/>
        </w:rPr>
        <w:t>torno de 2% no longo prazo,</w:t>
      </w:r>
      <w:r w:rsidR="00EB2F72" w:rsidRPr="00EB2F72">
        <w:rPr>
          <w:rFonts w:ascii="Gill Sans MT" w:hAnsi="Gill Sans MT" w:cs="Arial"/>
          <w:bCs/>
        </w:rPr>
        <w:t xml:space="preserve"> o comité d</w:t>
      </w:r>
      <w:r w:rsidR="00533A99">
        <w:rPr>
          <w:rFonts w:ascii="Gill Sans MT" w:hAnsi="Gill Sans MT" w:cs="Arial"/>
          <w:bCs/>
        </w:rPr>
        <w:t>a</w:t>
      </w:r>
      <w:r w:rsidR="00EB2F72" w:rsidRPr="00EB2F72">
        <w:rPr>
          <w:rFonts w:ascii="Gill Sans MT" w:hAnsi="Gill Sans MT" w:cs="Arial"/>
          <w:bCs/>
        </w:rPr>
        <w:t xml:space="preserve"> </w:t>
      </w:r>
      <w:r w:rsidR="00C8224F">
        <w:rPr>
          <w:rFonts w:ascii="Gill Sans MT" w:hAnsi="Gill Sans MT" w:cs="Arial"/>
          <w:bCs/>
        </w:rPr>
        <w:t>Reserva</w:t>
      </w:r>
      <w:r w:rsidR="00C8224F" w:rsidRPr="00EB2F72">
        <w:rPr>
          <w:rFonts w:ascii="Gill Sans MT" w:hAnsi="Gill Sans MT" w:cs="Arial"/>
          <w:bCs/>
        </w:rPr>
        <w:t xml:space="preserve"> </w:t>
      </w:r>
      <w:r w:rsidR="00EB2F72" w:rsidRPr="00EB2F72">
        <w:rPr>
          <w:rFonts w:ascii="Gill Sans MT" w:hAnsi="Gill Sans MT" w:cs="Arial"/>
          <w:bCs/>
        </w:rPr>
        <w:t xml:space="preserve">Federal </w:t>
      </w:r>
      <w:r w:rsidR="008B4ED2">
        <w:rPr>
          <w:rFonts w:ascii="Gill Sans MT" w:hAnsi="Gill Sans MT" w:cs="Arial"/>
          <w:bCs/>
        </w:rPr>
        <w:t xml:space="preserve">(FED) </w:t>
      </w:r>
      <w:r w:rsidR="00EB2F72" w:rsidRPr="00EB2F72">
        <w:rPr>
          <w:rFonts w:ascii="Gill Sans MT" w:hAnsi="Gill Sans MT" w:cs="Arial"/>
          <w:bCs/>
        </w:rPr>
        <w:t xml:space="preserve">na sua declaração do FOMC, emitida a 16 de dezembro, decidiu manter inalterada a taxa </w:t>
      </w:r>
      <w:proofErr w:type="spellStart"/>
      <w:r w:rsidR="00EB2F72" w:rsidRPr="00EB2F72">
        <w:rPr>
          <w:rFonts w:ascii="Gill Sans MT" w:hAnsi="Gill Sans MT" w:cs="Arial"/>
          <w:bCs/>
        </w:rPr>
        <w:t>Fed</w:t>
      </w:r>
      <w:proofErr w:type="spellEnd"/>
      <w:r w:rsidR="00EB2F72" w:rsidRPr="00EB2F72">
        <w:rPr>
          <w:rFonts w:ascii="Gill Sans MT" w:hAnsi="Gill Sans MT" w:cs="Arial"/>
          <w:bCs/>
        </w:rPr>
        <w:t xml:space="preserve"> Funds na faixa de 0,00% e 0,25%</w:t>
      </w:r>
      <w:r w:rsidR="00C8224F">
        <w:rPr>
          <w:rFonts w:ascii="Gill Sans MT" w:hAnsi="Gill Sans MT" w:cs="Arial"/>
          <w:bCs/>
        </w:rPr>
        <w:t>.</w:t>
      </w:r>
      <w:r w:rsidR="00EB2F72" w:rsidRPr="00EB2F72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O</w:t>
      </w:r>
      <w:r w:rsidR="00EB2F72" w:rsidRPr="00EB2F72">
        <w:rPr>
          <w:rFonts w:ascii="Gill Sans MT" w:hAnsi="Gill Sans MT" w:cs="Arial"/>
          <w:bCs/>
        </w:rPr>
        <w:t xml:space="preserve"> FED pretende continuar a aumentar suas participações em títulos do tesouro em pelo menos 80 </w:t>
      </w:r>
      <w:r w:rsidR="00C8224F">
        <w:rPr>
          <w:rFonts w:ascii="Gill Sans MT" w:hAnsi="Gill Sans MT" w:cs="Arial"/>
          <w:bCs/>
        </w:rPr>
        <w:t>mil milhões</w:t>
      </w:r>
      <w:r w:rsidR="00C8224F" w:rsidRPr="00EB2F72">
        <w:rPr>
          <w:rFonts w:ascii="Gill Sans MT" w:hAnsi="Gill Sans MT" w:cs="Arial"/>
          <w:bCs/>
        </w:rPr>
        <w:t xml:space="preserve"> </w:t>
      </w:r>
      <w:r w:rsidR="00EB2F72" w:rsidRPr="00EB2F72">
        <w:rPr>
          <w:rFonts w:ascii="Gill Sans MT" w:hAnsi="Gill Sans MT" w:cs="Arial"/>
          <w:bCs/>
        </w:rPr>
        <w:t>de dólares por mês e em títulos</w:t>
      </w:r>
      <w:r w:rsidR="00B14DBE">
        <w:rPr>
          <w:rFonts w:ascii="Gill Sans MT" w:hAnsi="Gill Sans MT" w:cs="Arial"/>
          <w:bCs/>
        </w:rPr>
        <w:t xml:space="preserve"> garantidos por hipotecas de agê</w:t>
      </w:r>
      <w:r w:rsidR="00EB2F72" w:rsidRPr="00EB2F72">
        <w:rPr>
          <w:rFonts w:ascii="Gill Sans MT" w:hAnsi="Gill Sans MT" w:cs="Arial"/>
          <w:bCs/>
        </w:rPr>
        <w:t xml:space="preserve">ncias em pelo menos 40 </w:t>
      </w:r>
      <w:r w:rsidR="00C8224F">
        <w:rPr>
          <w:rFonts w:ascii="Gill Sans MT" w:hAnsi="Gill Sans MT" w:cs="Arial"/>
          <w:bCs/>
        </w:rPr>
        <w:t>mil milhões</w:t>
      </w:r>
      <w:r w:rsidR="00C8224F" w:rsidRPr="00EB2F72">
        <w:rPr>
          <w:rFonts w:ascii="Gill Sans MT" w:hAnsi="Gill Sans MT" w:cs="Arial"/>
          <w:bCs/>
        </w:rPr>
        <w:t xml:space="preserve"> </w:t>
      </w:r>
      <w:r w:rsidR="00EB2F72" w:rsidRPr="00EB2F72">
        <w:rPr>
          <w:rFonts w:ascii="Gill Sans MT" w:hAnsi="Gill Sans MT" w:cs="Arial"/>
          <w:bCs/>
        </w:rPr>
        <w:t>de dólares por mês</w:t>
      </w:r>
      <w:r w:rsidR="00281ED6">
        <w:rPr>
          <w:rFonts w:ascii="Gill Sans MT" w:hAnsi="Gill Sans MT" w:cs="Arial"/>
          <w:bCs/>
        </w:rPr>
        <w:t>,</w:t>
      </w:r>
      <w:r w:rsidR="00EB2F72" w:rsidRPr="00EB2F72">
        <w:rPr>
          <w:rFonts w:ascii="Gill Sans MT" w:hAnsi="Gill Sans MT" w:cs="Arial"/>
          <w:bCs/>
        </w:rPr>
        <w:t xml:space="preserve"> até que sejam atingidos os objetivos de estabilidade. </w:t>
      </w:r>
    </w:p>
    <w:p w14:paraId="4AEFC55C" w14:textId="763325EA" w:rsidR="00EB2F72" w:rsidRPr="00EB2F72" w:rsidRDefault="00EB2F72" w:rsidP="00EB2F72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EB2F72">
        <w:rPr>
          <w:rFonts w:ascii="Gill Sans MT" w:hAnsi="Gill Sans MT" w:cs="Arial"/>
          <w:bCs/>
        </w:rPr>
        <w:t xml:space="preserve">Na Zona Euro, segundo os dados do Eurostat, o produto interno bruto contraiu 5,1% no </w:t>
      </w:r>
      <w:r w:rsidR="00B14DBE">
        <w:rPr>
          <w:rFonts w:ascii="Gill Sans MT" w:hAnsi="Gill Sans MT" w:cs="Arial"/>
          <w:bCs/>
        </w:rPr>
        <w:t>quarto trimestre de 2020 (+</w:t>
      </w:r>
      <w:r w:rsidRPr="00EB2F72">
        <w:rPr>
          <w:rFonts w:ascii="Gill Sans MT" w:hAnsi="Gill Sans MT" w:cs="Arial"/>
          <w:bCs/>
        </w:rPr>
        <w:t xml:space="preserve">0,9% no período </w:t>
      </w:r>
      <w:r w:rsidR="00E22554" w:rsidRPr="00EB2F72">
        <w:rPr>
          <w:rFonts w:ascii="Gill Sans MT" w:hAnsi="Gill Sans MT" w:cs="Arial"/>
          <w:bCs/>
        </w:rPr>
        <w:t>hom</w:t>
      </w:r>
      <w:r w:rsidR="00E22554">
        <w:rPr>
          <w:rFonts w:ascii="Gill Sans MT" w:hAnsi="Gill Sans MT" w:cs="Arial"/>
          <w:bCs/>
        </w:rPr>
        <w:t>ó</w:t>
      </w:r>
      <w:r w:rsidR="00E22554" w:rsidRPr="00EB2F72">
        <w:rPr>
          <w:rFonts w:ascii="Gill Sans MT" w:hAnsi="Gill Sans MT" w:cs="Arial"/>
          <w:bCs/>
        </w:rPr>
        <w:t>logo</w:t>
      </w:r>
      <w:r w:rsidRPr="00EB2F72">
        <w:rPr>
          <w:rFonts w:ascii="Gill Sans MT" w:hAnsi="Gill Sans MT" w:cs="Arial"/>
          <w:bCs/>
        </w:rPr>
        <w:t xml:space="preserve">), espelhando </w:t>
      </w:r>
      <w:r w:rsidR="00B14DBE">
        <w:rPr>
          <w:rFonts w:ascii="Gill Sans MT" w:hAnsi="Gill Sans MT" w:cs="Arial"/>
          <w:bCs/>
        </w:rPr>
        <w:t>a</w:t>
      </w:r>
      <w:r w:rsidRPr="00EB2F72">
        <w:rPr>
          <w:rFonts w:ascii="Gill Sans MT" w:hAnsi="Gill Sans MT" w:cs="Arial"/>
          <w:bCs/>
        </w:rPr>
        <w:t xml:space="preserve"> segunda onda de covid-19 na região e a</w:t>
      </w:r>
      <w:r w:rsidR="00C8224F">
        <w:rPr>
          <w:rFonts w:ascii="Gill Sans MT" w:hAnsi="Gill Sans MT" w:cs="Arial"/>
          <w:bCs/>
        </w:rPr>
        <w:t>s</w:t>
      </w:r>
      <w:r w:rsidRPr="00EB2F72">
        <w:rPr>
          <w:rFonts w:ascii="Gill Sans MT" w:hAnsi="Gill Sans MT" w:cs="Arial"/>
          <w:bCs/>
        </w:rPr>
        <w:t xml:space="preserve"> novas</w:t>
      </w:r>
      <w:r w:rsidR="00B14DBE">
        <w:rPr>
          <w:rFonts w:ascii="Gill Sans MT" w:hAnsi="Gill Sans MT" w:cs="Arial"/>
          <w:bCs/>
        </w:rPr>
        <w:t xml:space="preserve"> medidas e restrições impos</w:t>
      </w:r>
      <w:r w:rsidRPr="00EB2F72">
        <w:rPr>
          <w:rFonts w:ascii="Gill Sans MT" w:hAnsi="Gill Sans MT" w:cs="Arial"/>
          <w:bCs/>
        </w:rPr>
        <w:t>tas</w:t>
      </w:r>
      <w:r w:rsidR="00C8224F">
        <w:rPr>
          <w:rFonts w:ascii="Gill Sans MT" w:hAnsi="Gill Sans MT" w:cs="Arial"/>
          <w:bCs/>
        </w:rPr>
        <w:t xml:space="preserve"> para reduzir a propagação do vírus</w:t>
      </w:r>
      <w:r w:rsidRPr="00EB2F72">
        <w:rPr>
          <w:rFonts w:ascii="Gill Sans MT" w:hAnsi="Gill Sans MT" w:cs="Arial"/>
          <w:bCs/>
        </w:rPr>
        <w:t xml:space="preserve">. O fraco desempenho económico é derivado da queda das principais economias do bloco, </w:t>
      </w:r>
      <w:r w:rsidR="00E22554">
        <w:rPr>
          <w:rFonts w:ascii="Gill Sans MT" w:hAnsi="Gill Sans MT" w:cs="Arial"/>
          <w:bCs/>
        </w:rPr>
        <w:t xml:space="preserve">nomeadamente </w:t>
      </w:r>
      <w:r w:rsidR="00C8224F">
        <w:rPr>
          <w:rFonts w:ascii="Gill Sans MT" w:hAnsi="Gill Sans MT" w:cs="Arial"/>
          <w:bCs/>
        </w:rPr>
        <w:t xml:space="preserve">a </w:t>
      </w:r>
      <w:r w:rsidRPr="00EB2F72">
        <w:rPr>
          <w:rFonts w:ascii="Gill Sans MT" w:hAnsi="Gill Sans MT" w:cs="Arial"/>
          <w:bCs/>
        </w:rPr>
        <w:t xml:space="preserve">França (-5,0%), </w:t>
      </w:r>
      <w:r w:rsidR="00C8224F">
        <w:rPr>
          <w:rFonts w:ascii="Gill Sans MT" w:hAnsi="Gill Sans MT" w:cs="Arial"/>
          <w:bCs/>
        </w:rPr>
        <w:t xml:space="preserve">a </w:t>
      </w:r>
      <w:r w:rsidRPr="00EB2F72">
        <w:rPr>
          <w:rFonts w:ascii="Gill Sans MT" w:hAnsi="Gill Sans MT" w:cs="Arial"/>
          <w:bCs/>
        </w:rPr>
        <w:t xml:space="preserve">Alemanha (-3,9%), </w:t>
      </w:r>
      <w:r w:rsidR="00C8224F">
        <w:rPr>
          <w:rFonts w:ascii="Gill Sans MT" w:hAnsi="Gill Sans MT" w:cs="Arial"/>
          <w:bCs/>
        </w:rPr>
        <w:t xml:space="preserve">a </w:t>
      </w:r>
      <w:r w:rsidRPr="00EB2F72">
        <w:rPr>
          <w:rFonts w:ascii="Gill Sans MT" w:hAnsi="Gill Sans MT" w:cs="Arial"/>
          <w:bCs/>
        </w:rPr>
        <w:t xml:space="preserve">Espanha (-9,1%), </w:t>
      </w:r>
      <w:r w:rsidR="00C8224F">
        <w:rPr>
          <w:rFonts w:ascii="Gill Sans MT" w:hAnsi="Gill Sans MT" w:cs="Arial"/>
          <w:bCs/>
        </w:rPr>
        <w:t xml:space="preserve">a </w:t>
      </w:r>
      <w:r w:rsidRPr="00EB2F72">
        <w:rPr>
          <w:rFonts w:ascii="Gill Sans MT" w:hAnsi="Gill Sans MT" w:cs="Arial"/>
          <w:bCs/>
        </w:rPr>
        <w:t xml:space="preserve">Itália (-6,6%) e </w:t>
      </w:r>
      <w:r w:rsidR="00C8224F">
        <w:rPr>
          <w:rFonts w:ascii="Gill Sans MT" w:hAnsi="Gill Sans MT" w:cs="Arial"/>
          <w:bCs/>
        </w:rPr>
        <w:t xml:space="preserve">o </w:t>
      </w:r>
      <w:r w:rsidRPr="00EB2F72">
        <w:rPr>
          <w:rFonts w:ascii="Gill Sans MT" w:hAnsi="Gill Sans MT" w:cs="Arial"/>
          <w:bCs/>
        </w:rPr>
        <w:t>Portugal (-5,4%).</w:t>
      </w:r>
    </w:p>
    <w:p w14:paraId="42038ABD" w14:textId="77777777" w:rsidR="00EB2F72" w:rsidRDefault="00EB2F72" w:rsidP="00691C5E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</w:p>
    <w:p w14:paraId="73AB3ACD" w14:textId="1C950F76" w:rsidR="006F72F3" w:rsidRDefault="006F72F3" w:rsidP="008F6671">
      <w:pPr>
        <w:spacing w:line="240" w:lineRule="auto"/>
        <w:jc w:val="center"/>
        <w:rPr>
          <w:rFonts w:ascii="Gill Sans MT" w:eastAsia="Calibri" w:hAnsi="Gill Sans MT"/>
          <w:b/>
          <w:bCs/>
        </w:rPr>
      </w:pPr>
      <w:r w:rsidRPr="00B954D0">
        <w:rPr>
          <w:rFonts w:ascii="Gill Sans MT" w:eastAsia="Calibri" w:hAnsi="Gill Sans MT"/>
          <w:b/>
          <w:bCs/>
        </w:rPr>
        <w:t>Gráfico 1: Evolução do Indicador de Sentimento Económico (EU e EA)</w:t>
      </w:r>
    </w:p>
    <w:p w14:paraId="1D7EE9CD" w14:textId="45C39968" w:rsidR="008F6671" w:rsidRPr="00B954D0" w:rsidRDefault="00D235CB" w:rsidP="008F6671">
      <w:pPr>
        <w:spacing w:line="240" w:lineRule="auto"/>
        <w:jc w:val="center"/>
        <w:rPr>
          <w:rFonts w:ascii="Gill Sans MT" w:eastAsia="Calibri" w:hAnsi="Gill Sans MT"/>
          <w:b/>
          <w:bCs/>
        </w:rPr>
      </w:pPr>
      <w:r w:rsidRPr="00D235CB">
        <w:rPr>
          <w:noProof/>
          <w:lang w:eastAsia="pt-PT"/>
        </w:rPr>
        <w:drawing>
          <wp:inline distT="0" distB="0" distL="0" distR="0" wp14:anchorId="4C5348A2" wp14:editId="0E1A0DFE">
            <wp:extent cx="5760720" cy="2892876"/>
            <wp:effectExtent l="0" t="0" r="0" b="317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CD87" w14:textId="09952FDE" w:rsidR="006F72F3" w:rsidRPr="00B954D0" w:rsidRDefault="006F72F3" w:rsidP="008F6671">
      <w:pPr>
        <w:spacing w:after="0" w:line="240" w:lineRule="auto"/>
        <w:jc w:val="center"/>
        <w:rPr>
          <w:rFonts w:ascii="Gill Sans MT" w:eastAsia="Calibri" w:hAnsi="Gill Sans MT"/>
          <w:sz w:val="18"/>
          <w:szCs w:val="18"/>
        </w:rPr>
      </w:pPr>
      <w:r w:rsidRPr="00495457">
        <w:rPr>
          <w:rFonts w:ascii="Gill Sans MT" w:eastAsia="Calibri" w:hAnsi="Gill Sans MT"/>
          <w:b/>
          <w:sz w:val="18"/>
          <w:szCs w:val="18"/>
        </w:rPr>
        <w:t xml:space="preserve"> </w:t>
      </w:r>
      <w:r w:rsidRPr="00B954D0">
        <w:rPr>
          <w:rFonts w:ascii="Gill Sans MT" w:eastAsia="Calibri" w:hAnsi="Gill Sans MT"/>
          <w:b/>
          <w:sz w:val="18"/>
          <w:szCs w:val="18"/>
        </w:rPr>
        <w:t>Fonte:</w:t>
      </w:r>
      <w:r w:rsidRPr="00B954D0">
        <w:rPr>
          <w:rFonts w:ascii="Gill Sans MT" w:eastAsia="Calibri" w:hAnsi="Gill Sans MT"/>
          <w:sz w:val="18"/>
          <w:szCs w:val="18"/>
        </w:rPr>
        <w:t xml:space="preserve"> Comissão Europeia, abril de 2020.</w:t>
      </w:r>
    </w:p>
    <w:p w14:paraId="79085BAD" w14:textId="77777777" w:rsidR="006F72F3" w:rsidRPr="00E32402" w:rsidRDefault="006F72F3" w:rsidP="008F6671">
      <w:pPr>
        <w:spacing w:after="240" w:line="240" w:lineRule="auto"/>
        <w:jc w:val="center"/>
        <w:rPr>
          <w:rFonts w:ascii="Gill Sans MT" w:eastAsia="Calibri" w:hAnsi="Gill Sans MT"/>
          <w:b/>
          <w:sz w:val="18"/>
          <w:szCs w:val="18"/>
        </w:rPr>
      </w:pPr>
      <w:r w:rsidRPr="00E32402">
        <w:rPr>
          <w:rFonts w:ascii="Gill Sans MT" w:eastAsia="Calibri" w:hAnsi="Gill Sans MT"/>
          <w:b/>
          <w:sz w:val="18"/>
          <w:szCs w:val="18"/>
        </w:rPr>
        <w:t xml:space="preserve">Nota: ESI - 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The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 xml:space="preserve"> 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Economic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 xml:space="preserve"> 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Sentiment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 xml:space="preserve"> 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Indicator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>; EU-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European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 xml:space="preserve"> 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Union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 xml:space="preserve">; EA-Euro </w:t>
      </w:r>
      <w:proofErr w:type="spellStart"/>
      <w:r w:rsidRPr="00E32402">
        <w:rPr>
          <w:rFonts w:ascii="Gill Sans MT" w:eastAsia="Calibri" w:hAnsi="Gill Sans MT"/>
          <w:b/>
          <w:sz w:val="18"/>
          <w:szCs w:val="18"/>
        </w:rPr>
        <w:t>Area</w:t>
      </w:r>
      <w:proofErr w:type="spellEnd"/>
      <w:r w:rsidRPr="00E32402">
        <w:rPr>
          <w:rFonts w:ascii="Gill Sans MT" w:eastAsia="Calibri" w:hAnsi="Gill Sans MT"/>
          <w:b/>
          <w:sz w:val="18"/>
          <w:szCs w:val="18"/>
        </w:rPr>
        <w:t>.</w:t>
      </w:r>
    </w:p>
    <w:p w14:paraId="3D3456A6" w14:textId="6C7A41D2" w:rsidR="00442C4C" w:rsidRDefault="00442C4C" w:rsidP="00442C4C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442C4C">
        <w:rPr>
          <w:rFonts w:ascii="Gill Sans MT" w:hAnsi="Gill Sans MT" w:cs="Arial"/>
          <w:bCs/>
        </w:rPr>
        <w:t xml:space="preserve">Com a atividade económica retraída na região devido </w:t>
      </w:r>
      <w:r w:rsidR="00E22554">
        <w:rPr>
          <w:rFonts w:ascii="Gill Sans MT" w:hAnsi="Gill Sans MT" w:cs="Arial"/>
          <w:bCs/>
        </w:rPr>
        <w:t>às</w:t>
      </w:r>
      <w:r w:rsidR="00E22554" w:rsidRPr="00442C4C">
        <w:rPr>
          <w:rFonts w:ascii="Gill Sans MT" w:hAnsi="Gill Sans MT" w:cs="Arial"/>
          <w:bCs/>
        </w:rPr>
        <w:t xml:space="preserve"> </w:t>
      </w:r>
      <w:r w:rsidRPr="00442C4C">
        <w:rPr>
          <w:rFonts w:ascii="Gill Sans MT" w:hAnsi="Gill Sans MT" w:cs="Arial"/>
          <w:bCs/>
        </w:rPr>
        <w:t xml:space="preserve">incertezas a curto prazo, o indicador de sentimento económico decresceu em 9,8 pontos em relação ao trimestre homólogo de 2019, refletindo as avaliações negativas do sector dos serviços (-25,2 pontos), da construção (-13,3 pontos), </w:t>
      </w:r>
      <w:r w:rsidRPr="00442C4C">
        <w:rPr>
          <w:rFonts w:ascii="Gill Sans MT" w:hAnsi="Gill Sans MT" w:cs="Arial"/>
          <w:bCs/>
        </w:rPr>
        <w:lastRenderedPageBreak/>
        <w:t>do comércio a retalho (-10,8 pontos) e do consumo das famílias (-8,0 pontos), pese embora, alguma recuperação da atividade industrial na região (+0,4 pontos).</w:t>
      </w:r>
    </w:p>
    <w:p w14:paraId="14712A61" w14:textId="293C04C9" w:rsidR="004E6869" w:rsidRPr="00442C4C" w:rsidRDefault="00514B78" w:rsidP="00442C4C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442C4C">
        <w:rPr>
          <w:rFonts w:ascii="Gill Sans MT" w:hAnsi="Gill Sans MT" w:cs="Arial"/>
          <w:bCs/>
        </w:rPr>
        <w:t xml:space="preserve">Por sua vez a taxa de inflação caiu no </w:t>
      </w:r>
      <w:r>
        <w:rPr>
          <w:rFonts w:ascii="Gill Sans MT" w:hAnsi="Gill Sans MT" w:cs="Arial"/>
          <w:bCs/>
        </w:rPr>
        <w:t>ú</w:t>
      </w:r>
      <w:r w:rsidRPr="00442C4C">
        <w:rPr>
          <w:rFonts w:ascii="Gill Sans MT" w:hAnsi="Gill Sans MT" w:cs="Arial"/>
          <w:bCs/>
        </w:rPr>
        <w:t>ltimo trimestre</w:t>
      </w:r>
      <w:r>
        <w:rPr>
          <w:rFonts w:ascii="Gill Sans MT" w:hAnsi="Gill Sans MT" w:cs="Arial"/>
          <w:bCs/>
        </w:rPr>
        <w:t xml:space="preserve"> do ano</w:t>
      </w:r>
      <w:r w:rsidRPr="00442C4C">
        <w:rPr>
          <w:rFonts w:ascii="Gill Sans MT" w:hAnsi="Gill Sans MT" w:cs="Arial"/>
          <w:bCs/>
        </w:rPr>
        <w:t xml:space="preserve">, situando-se </w:t>
      </w:r>
      <w:r>
        <w:rPr>
          <w:rFonts w:ascii="Gill Sans MT" w:hAnsi="Gill Sans MT" w:cs="Arial"/>
          <w:bCs/>
        </w:rPr>
        <w:t>em</w:t>
      </w:r>
      <w:r w:rsidRPr="00442C4C">
        <w:rPr>
          <w:rFonts w:ascii="Gill Sans MT" w:hAnsi="Gill Sans MT" w:cs="Arial"/>
          <w:bCs/>
        </w:rPr>
        <w:t xml:space="preserve"> -0,3% (-1.3 p.p. face ao trimestre hom</w:t>
      </w:r>
      <w:r>
        <w:rPr>
          <w:rFonts w:ascii="Gill Sans MT" w:hAnsi="Gill Sans MT" w:cs="Arial"/>
          <w:bCs/>
        </w:rPr>
        <w:t>ó</w:t>
      </w:r>
      <w:r w:rsidRPr="00442C4C">
        <w:rPr>
          <w:rFonts w:ascii="Gill Sans MT" w:hAnsi="Gill Sans MT" w:cs="Arial"/>
          <w:bCs/>
        </w:rPr>
        <w:t>logo de 2019)</w:t>
      </w:r>
      <w:r>
        <w:rPr>
          <w:rFonts w:ascii="Gill Sans MT" w:hAnsi="Gill Sans MT" w:cs="Arial"/>
          <w:bCs/>
        </w:rPr>
        <w:t>,</w:t>
      </w:r>
      <w:r w:rsidRPr="00442C4C">
        <w:rPr>
          <w:rFonts w:ascii="Gill Sans MT" w:hAnsi="Gill Sans MT" w:cs="Arial"/>
          <w:bCs/>
        </w:rPr>
        <w:t xml:space="preserve"> enquanto que a taxa de desemprego aumentou 0,9 p.p. quando comparado com o mesmo período do ano anterior (7,4%).</w:t>
      </w:r>
    </w:p>
    <w:p w14:paraId="1BECFD51" w14:textId="27A8975B" w:rsidR="00442C4C" w:rsidRPr="00442C4C" w:rsidRDefault="00442C4C" w:rsidP="00442C4C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442C4C">
        <w:rPr>
          <w:rFonts w:ascii="Gill Sans MT" w:hAnsi="Gill Sans MT" w:cs="Arial"/>
          <w:bCs/>
        </w:rPr>
        <w:t xml:space="preserve">Face ao </w:t>
      </w:r>
      <w:r w:rsidR="008B4ED2">
        <w:rPr>
          <w:rFonts w:ascii="Gill Sans MT" w:hAnsi="Gill Sans MT" w:cs="Arial"/>
          <w:bCs/>
        </w:rPr>
        <w:t>contexto</w:t>
      </w:r>
      <w:r w:rsidR="008B4ED2" w:rsidRPr="00442C4C">
        <w:rPr>
          <w:rFonts w:ascii="Gill Sans MT" w:hAnsi="Gill Sans MT" w:cs="Arial"/>
          <w:bCs/>
        </w:rPr>
        <w:t xml:space="preserve"> </w:t>
      </w:r>
      <w:r w:rsidRPr="00442C4C">
        <w:rPr>
          <w:rFonts w:ascii="Gill Sans MT" w:hAnsi="Gill Sans MT" w:cs="Arial"/>
          <w:bCs/>
        </w:rPr>
        <w:t xml:space="preserve">económico, o </w:t>
      </w:r>
      <w:r w:rsidR="008B4ED2">
        <w:rPr>
          <w:rFonts w:ascii="Gill Sans MT" w:hAnsi="Gill Sans MT" w:cs="Arial"/>
          <w:bCs/>
        </w:rPr>
        <w:t>Banco Central Europeu (</w:t>
      </w:r>
      <w:r w:rsidRPr="00442C4C">
        <w:rPr>
          <w:rFonts w:ascii="Gill Sans MT" w:hAnsi="Gill Sans MT" w:cs="Arial"/>
          <w:bCs/>
        </w:rPr>
        <w:t>BCE</w:t>
      </w:r>
      <w:r w:rsidR="008B4ED2">
        <w:rPr>
          <w:rFonts w:ascii="Gill Sans MT" w:hAnsi="Gill Sans MT" w:cs="Arial"/>
          <w:bCs/>
        </w:rPr>
        <w:t>)</w:t>
      </w:r>
      <w:r w:rsidRPr="00442C4C">
        <w:rPr>
          <w:rFonts w:ascii="Gill Sans MT" w:hAnsi="Gill Sans MT" w:cs="Arial"/>
          <w:bCs/>
        </w:rPr>
        <w:t xml:space="preserve"> decidiu manter uma </w:t>
      </w:r>
      <w:r w:rsidR="008B4ED2">
        <w:rPr>
          <w:rFonts w:ascii="Gill Sans MT" w:hAnsi="Gill Sans MT" w:cs="Arial"/>
          <w:bCs/>
        </w:rPr>
        <w:t>política</w:t>
      </w:r>
      <w:r w:rsidR="008B4ED2" w:rsidRPr="00442C4C">
        <w:rPr>
          <w:rFonts w:ascii="Gill Sans MT" w:hAnsi="Gill Sans MT" w:cs="Arial"/>
          <w:bCs/>
        </w:rPr>
        <w:t xml:space="preserve"> </w:t>
      </w:r>
      <w:r w:rsidRPr="00442C4C">
        <w:rPr>
          <w:rFonts w:ascii="Gill Sans MT" w:hAnsi="Gill Sans MT" w:cs="Arial"/>
          <w:bCs/>
        </w:rPr>
        <w:t>monetária mais acomodatícia, direcionada para apoiar as famílias e empresas, e salvaguardar a estabilidade de preços a médio prazo. Nesse sentido</w:t>
      </w:r>
      <w:r w:rsidR="008B4ED2">
        <w:rPr>
          <w:rFonts w:ascii="Gill Sans MT" w:hAnsi="Gill Sans MT" w:cs="Arial"/>
          <w:bCs/>
        </w:rPr>
        <w:t>,</w:t>
      </w:r>
      <w:r w:rsidRPr="00442C4C">
        <w:rPr>
          <w:rFonts w:ascii="Gill Sans MT" w:hAnsi="Gill Sans MT" w:cs="Arial"/>
          <w:bCs/>
        </w:rPr>
        <w:t xml:space="preserve"> a taxa de juro aplicável </w:t>
      </w:r>
      <w:r w:rsidR="00C8224F">
        <w:rPr>
          <w:rFonts w:ascii="Gill Sans MT" w:hAnsi="Gill Sans MT" w:cs="Arial"/>
          <w:bCs/>
        </w:rPr>
        <w:t>à</w:t>
      </w:r>
      <w:r w:rsidRPr="00442C4C">
        <w:rPr>
          <w:rFonts w:ascii="Gill Sans MT" w:hAnsi="Gill Sans MT" w:cs="Arial"/>
          <w:bCs/>
        </w:rPr>
        <w:t>s operações de refinanciamento e as taxas de juro aplicáveis à facilidade permanente de cedência de liquidez e à facilidade permanente de depósito permaneceram inalteradas em 0,00%, 0,25% e -0,50%</w:t>
      </w:r>
      <w:r w:rsidR="008B4ED2">
        <w:rPr>
          <w:rFonts w:ascii="Gill Sans MT" w:hAnsi="Gill Sans MT" w:cs="Arial"/>
          <w:bCs/>
        </w:rPr>
        <w:t>,</w:t>
      </w:r>
      <w:r w:rsidRPr="00442C4C">
        <w:rPr>
          <w:rFonts w:ascii="Gill Sans MT" w:hAnsi="Gill Sans MT" w:cs="Arial"/>
          <w:bCs/>
        </w:rPr>
        <w:t xml:space="preserve"> respetivamente. O BCE decidiu ainda continuar as aquisições ao abrigo dos seus programas de compras de ativos (programa de compras de ativos a emergência pandémica “PEPP” no valor de 1.850 mil milhões de euros e programa de compra de ativos “APP” no valor mensal de 20 mil milhões de euros). </w:t>
      </w:r>
    </w:p>
    <w:p w14:paraId="1AB2942E" w14:textId="4A27FB4B" w:rsidR="00442C4C" w:rsidRPr="00442C4C" w:rsidRDefault="003B7846" w:rsidP="00442C4C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A</w:t>
      </w:r>
      <w:r w:rsidR="00442C4C" w:rsidRPr="00442C4C">
        <w:rPr>
          <w:rFonts w:ascii="Gill Sans MT" w:hAnsi="Gill Sans MT" w:cs="Arial"/>
          <w:bCs/>
        </w:rPr>
        <w:t xml:space="preserve"> economia do Reino Unido</w:t>
      </w:r>
      <w:r w:rsidR="008B4ED2">
        <w:rPr>
          <w:rFonts w:ascii="Gill Sans MT" w:hAnsi="Gill Sans MT" w:cs="Arial"/>
          <w:bCs/>
        </w:rPr>
        <w:t xml:space="preserve">, um dos principais emissores de turistas para Cabo Verde, </w:t>
      </w:r>
      <w:r w:rsidR="00442C4C" w:rsidRPr="00442C4C">
        <w:rPr>
          <w:rFonts w:ascii="Gill Sans MT" w:hAnsi="Gill Sans MT" w:cs="Arial"/>
          <w:bCs/>
        </w:rPr>
        <w:t>também enfrenta os efeitos devastadores da pandemia, acoplados ao proc</w:t>
      </w:r>
      <w:r>
        <w:rPr>
          <w:rFonts w:ascii="Gill Sans MT" w:hAnsi="Gill Sans MT" w:cs="Arial"/>
          <w:bCs/>
        </w:rPr>
        <w:t>esso d</w:t>
      </w:r>
      <w:r w:rsidR="00C8224F">
        <w:rPr>
          <w:rFonts w:ascii="Gill Sans MT" w:hAnsi="Gill Sans MT" w:cs="Arial"/>
          <w:bCs/>
        </w:rPr>
        <w:t>a</w:t>
      </w:r>
      <w:r>
        <w:rPr>
          <w:rFonts w:ascii="Gill Sans MT" w:hAnsi="Gill Sans MT" w:cs="Arial"/>
          <w:bCs/>
        </w:rPr>
        <w:t xml:space="preserve"> saída </w:t>
      </w:r>
      <w:r w:rsidR="00442C4C" w:rsidRPr="00442C4C">
        <w:rPr>
          <w:rFonts w:ascii="Gill Sans MT" w:hAnsi="Gill Sans MT" w:cs="Arial"/>
          <w:bCs/>
        </w:rPr>
        <w:t>da União Europeia. O indicador de sentimento económico na região deteriorou (5,4 pontos) em relação ao período hom</w:t>
      </w:r>
      <w:r w:rsidR="008B4ED2">
        <w:rPr>
          <w:rFonts w:ascii="Gill Sans MT" w:hAnsi="Gill Sans MT" w:cs="Arial"/>
          <w:bCs/>
        </w:rPr>
        <w:t>ó</w:t>
      </w:r>
      <w:r w:rsidR="00442C4C" w:rsidRPr="00442C4C">
        <w:rPr>
          <w:rFonts w:ascii="Gill Sans MT" w:hAnsi="Gill Sans MT" w:cs="Arial"/>
          <w:bCs/>
        </w:rPr>
        <w:t xml:space="preserve">logo, evidenciando as fracas perspetivas no </w:t>
      </w:r>
      <w:r w:rsidR="008B4ED2">
        <w:rPr>
          <w:rFonts w:ascii="Gill Sans MT" w:hAnsi="Gill Sans MT" w:cs="Arial"/>
          <w:bCs/>
        </w:rPr>
        <w:t>setor</w:t>
      </w:r>
      <w:r w:rsidR="008B4ED2" w:rsidRPr="00442C4C">
        <w:rPr>
          <w:rFonts w:ascii="Gill Sans MT" w:hAnsi="Gill Sans MT" w:cs="Arial"/>
          <w:bCs/>
        </w:rPr>
        <w:t xml:space="preserve"> </w:t>
      </w:r>
      <w:r w:rsidR="00442C4C" w:rsidRPr="00442C4C">
        <w:rPr>
          <w:rFonts w:ascii="Gill Sans MT" w:hAnsi="Gill Sans MT" w:cs="Arial"/>
          <w:bCs/>
        </w:rPr>
        <w:t>dos serviços (-25,0 pontos) e no consumo das famílias (-10,9 pontos), contrab</w:t>
      </w:r>
      <w:r w:rsidR="00D02298">
        <w:rPr>
          <w:rFonts w:ascii="Gill Sans MT" w:hAnsi="Gill Sans MT" w:cs="Arial"/>
          <w:bCs/>
        </w:rPr>
        <w:t>alançado</w:t>
      </w:r>
      <w:r>
        <w:rPr>
          <w:rFonts w:ascii="Gill Sans MT" w:hAnsi="Gill Sans MT" w:cs="Arial"/>
          <w:bCs/>
        </w:rPr>
        <w:t>s</w:t>
      </w:r>
      <w:r w:rsidR="00D02298">
        <w:rPr>
          <w:rFonts w:ascii="Gill Sans MT" w:hAnsi="Gill Sans MT" w:cs="Arial"/>
          <w:bCs/>
        </w:rPr>
        <w:t xml:space="preserve"> pelas melhorias no comé</w:t>
      </w:r>
      <w:r w:rsidR="00442C4C" w:rsidRPr="00442C4C">
        <w:rPr>
          <w:rFonts w:ascii="Gill Sans MT" w:hAnsi="Gill Sans MT" w:cs="Arial"/>
          <w:bCs/>
        </w:rPr>
        <w:t>rcio a retalho e na ind</w:t>
      </w:r>
      <w:r w:rsidR="0056668D">
        <w:rPr>
          <w:rFonts w:ascii="Gill Sans MT" w:hAnsi="Gill Sans MT" w:cs="Arial"/>
          <w:bCs/>
        </w:rPr>
        <w:t>ú</w:t>
      </w:r>
      <w:r w:rsidR="00442C4C" w:rsidRPr="00442C4C">
        <w:rPr>
          <w:rFonts w:ascii="Gill Sans MT" w:hAnsi="Gill Sans MT" w:cs="Arial"/>
          <w:bCs/>
        </w:rPr>
        <w:t>stria</w:t>
      </w:r>
      <w:r w:rsidR="00DF018B">
        <w:rPr>
          <w:rFonts w:ascii="Gill Sans MT" w:hAnsi="Gill Sans MT" w:cs="Arial"/>
          <w:bCs/>
        </w:rPr>
        <w:t xml:space="preserve"> </w:t>
      </w:r>
      <w:r w:rsidR="00442C4C" w:rsidRPr="00442C4C">
        <w:rPr>
          <w:rFonts w:ascii="Gill Sans MT" w:hAnsi="Gill Sans MT" w:cs="Arial"/>
          <w:bCs/>
        </w:rPr>
        <w:t>(+2,2 pontos e +2,5 pontos</w:t>
      </w:r>
      <w:r w:rsidR="00DF018B">
        <w:rPr>
          <w:rFonts w:ascii="Gill Sans MT" w:hAnsi="Gill Sans MT" w:cs="Arial"/>
          <w:bCs/>
        </w:rPr>
        <w:t>,</w:t>
      </w:r>
      <w:r w:rsidR="00442C4C" w:rsidRPr="00442C4C">
        <w:rPr>
          <w:rFonts w:ascii="Gill Sans MT" w:hAnsi="Gill Sans MT" w:cs="Arial"/>
          <w:bCs/>
        </w:rPr>
        <w:t xml:space="preserve"> respetivamente</w:t>
      </w:r>
      <w:r w:rsidR="00DF018B">
        <w:rPr>
          <w:rFonts w:ascii="Gill Sans MT" w:hAnsi="Gill Sans MT" w:cs="Arial"/>
          <w:bCs/>
        </w:rPr>
        <w:t>)</w:t>
      </w:r>
      <w:r w:rsidR="00442C4C">
        <w:rPr>
          <w:rFonts w:ascii="Gill Sans MT" w:hAnsi="Gill Sans MT" w:cs="Arial"/>
          <w:bCs/>
        </w:rPr>
        <w:t>.</w:t>
      </w:r>
    </w:p>
    <w:p w14:paraId="470FBFCC" w14:textId="2D2C61D9" w:rsidR="00F16B45" w:rsidRDefault="00F16B45" w:rsidP="00442C4C">
      <w:pPr>
        <w:spacing w:before="240" w:line="240" w:lineRule="auto"/>
        <w:jc w:val="center"/>
        <w:rPr>
          <w:rFonts w:ascii="Gill Sans MT" w:eastAsia="Calibri" w:hAnsi="Gill Sans MT"/>
          <w:b/>
          <w:bCs/>
        </w:rPr>
      </w:pPr>
      <w:r w:rsidRPr="00B954D0">
        <w:rPr>
          <w:rFonts w:ascii="Gill Sans MT" w:eastAsia="Calibri" w:hAnsi="Gill Sans MT"/>
          <w:b/>
          <w:bCs/>
        </w:rPr>
        <w:t>Gráfico 2: Evolução da Taxa de Inflação e de Desemprego</w:t>
      </w:r>
    </w:p>
    <w:p w14:paraId="37A68B58" w14:textId="6E7F1815" w:rsidR="008F6671" w:rsidRPr="00B954D0" w:rsidRDefault="002526D7" w:rsidP="008F6671">
      <w:pPr>
        <w:spacing w:before="240" w:line="240" w:lineRule="auto"/>
        <w:jc w:val="center"/>
        <w:rPr>
          <w:i/>
        </w:rPr>
      </w:pPr>
      <w:r w:rsidRPr="002526D7">
        <w:rPr>
          <w:noProof/>
          <w:lang w:eastAsia="pt-PT"/>
        </w:rPr>
        <w:drawing>
          <wp:inline distT="0" distB="0" distL="0" distR="0" wp14:anchorId="0621BFDE" wp14:editId="6B372B7F">
            <wp:extent cx="5760720" cy="276493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D0D2" w14:textId="6461D238" w:rsidR="00F16B45" w:rsidRPr="00B954D0" w:rsidRDefault="00F16B45" w:rsidP="008F6671">
      <w:pPr>
        <w:spacing w:after="360" w:line="240" w:lineRule="auto"/>
        <w:jc w:val="center"/>
        <w:rPr>
          <w:rFonts w:ascii="Gill Sans MT" w:eastAsia="Calibri" w:hAnsi="Gill Sans MT"/>
          <w:lang w:val="en-US"/>
        </w:rPr>
      </w:pPr>
      <w:r w:rsidRPr="00495457">
        <w:rPr>
          <w:rFonts w:ascii="Gill Sans MT" w:eastAsia="Calibri" w:hAnsi="Gill Sans MT"/>
          <w:b/>
          <w:sz w:val="18"/>
          <w:szCs w:val="18"/>
          <w:lang w:val="en-US"/>
        </w:rPr>
        <w:t xml:space="preserve"> </w:t>
      </w:r>
      <w:r w:rsidRPr="00B954D0">
        <w:rPr>
          <w:rFonts w:ascii="Gill Sans MT" w:eastAsia="Calibri" w:hAnsi="Gill Sans MT"/>
          <w:b/>
          <w:sz w:val="18"/>
          <w:szCs w:val="18"/>
          <w:lang w:val="en-US"/>
        </w:rPr>
        <w:t>Fonte:</w:t>
      </w:r>
      <w:r w:rsidRPr="00B954D0">
        <w:rPr>
          <w:rFonts w:ascii="Gill Sans MT" w:eastAsia="Calibri" w:hAnsi="Gill Sans MT"/>
          <w:sz w:val="18"/>
          <w:szCs w:val="18"/>
          <w:lang w:val="en-US"/>
        </w:rPr>
        <w:t xml:space="preserve"> Eurostat; Federal Reserve Bank of St. Louis.</w:t>
      </w:r>
    </w:p>
    <w:p w14:paraId="7A2DE79A" w14:textId="1F99A9BB" w:rsidR="00887D55" w:rsidRPr="00887D55" w:rsidRDefault="00887D55" w:rsidP="00887D55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887D55">
        <w:rPr>
          <w:rFonts w:ascii="Gill Sans MT" w:hAnsi="Gill Sans MT" w:cs="Arial"/>
          <w:bCs/>
        </w:rPr>
        <w:lastRenderedPageBreak/>
        <w:t xml:space="preserve">Segundo </w:t>
      </w:r>
      <w:r w:rsidR="00C8224F">
        <w:rPr>
          <w:rFonts w:ascii="Gill Sans MT" w:hAnsi="Gill Sans MT" w:cs="Arial"/>
          <w:bCs/>
        </w:rPr>
        <w:t xml:space="preserve">os </w:t>
      </w:r>
      <w:r w:rsidRPr="00887D55">
        <w:rPr>
          <w:rFonts w:ascii="Gill Sans MT" w:hAnsi="Gill Sans MT" w:cs="Arial"/>
          <w:bCs/>
        </w:rPr>
        <w:t xml:space="preserve">dados </w:t>
      </w:r>
      <w:r w:rsidR="0056668D">
        <w:rPr>
          <w:rFonts w:ascii="Gill Sans MT" w:hAnsi="Gill Sans MT" w:cs="Arial"/>
          <w:bCs/>
        </w:rPr>
        <w:t xml:space="preserve">do </w:t>
      </w:r>
      <w:r w:rsidRPr="00887D55">
        <w:rPr>
          <w:rFonts w:ascii="Gill Sans MT" w:hAnsi="Gill Sans MT" w:cs="Arial"/>
          <w:bCs/>
        </w:rPr>
        <w:t xml:space="preserve">Office for </w:t>
      </w:r>
      <w:proofErr w:type="spellStart"/>
      <w:r w:rsidRPr="00887D55">
        <w:rPr>
          <w:rFonts w:ascii="Gill Sans MT" w:hAnsi="Gill Sans MT" w:cs="Arial"/>
          <w:bCs/>
        </w:rPr>
        <w:t>National</w:t>
      </w:r>
      <w:proofErr w:type="spellEnd"/>
      <w:r w:rsidRPr="00887D55">
        <w:rPr>
          <w:rFonts w:ascii="Gill Sans MT" w:hAnsi="Gill Sans MT" w:cs="Arial"/>
          <w:bCs/>
        </w:rPr>
        <w:t xml:space="preserve"> </w:t>
      </w:r>
      <w:proofErr w:type="spellStart"/>
      <w:r w:rsidRPr="00887D55">
        <w:rPr>
          <w:rFonts w:ascii="Gill Sans MT" w:hAnsi="Gill Sans MT" w:cs="Arial"/>
          <w:bCs/>
        </w:rPr>
        <w:t>Statistics</w:t>
      </w:r>
      <w:proofErr w:type="spellEnd"/>
      <w:r w:rsidR="00C74F91">
        <w:rPr>
          <w:rFonts w:ascii="Gill Sans MT" w:hAnsi="Gill Sans MT" w:cs="Arial"/>
          <w:bCs/>
        </w:rPr>
        <w:t xml:space="preserve"> (ONS)</w:t>
      </w:r>
      <w:r w:rsidRPr="00887D55">
        <w:rPr>
          <w:rFonts w:ascii="Gill Sans MT" w:hAnsi="Gill Sans MT" w:cs="Arial"/>
          <w:bCs/>
        </w:rPr>
        <w:t xml:space="preserve">, no quarto trimestre de 2020 o PIB </w:t>
      </w:r>
      <w:r w:rsidR="00903AF6">
        <w:rPr>
          <w:rFonts w:ascii="Gill Sans MT" w:hAnsi="Gill Sans MT" w:cs="Arial"/>
          <w:bCs/>
        </w:rPr>
        <w:t>reduziu 7,8%</w:t>
      </w:r>
      <w:r w:rsidRPr="00887D55">
        <w:rPr>
          <w:rFonts w:ascii="Gill Sans MT" w:hAnsi="Gill Sans MT" w:cs="Arial"/>
          <w:bCs/>
        </w:rPr>
        <w:t xml:space="preserve"> quando comprado com </w:t>
      </w:r>
      <w:r w:rsidR="00903AF6">
        <w:rPr>
          <w:rFonts w:ascii="Gill Sans MT" w:hAnsi="Gill Sans MT" w:cs="Arial"/>
          <w:bCs/>
        </w:rPr>
        <w:t xml:space="preserve">mesmo </w:t>
      </w:r>
      <w:r w:rsidRPr="00887D55">
        <w:rPr>
          <w:rFonts w:ascii="Gill Sans MT" w:hAnsi="Gill Sans MT" w:cs="Arial"/>
          <w:bCs/>
        </w:rPr>
        <w:t xml:space="preserve">trimestre </w:t>
      </w:r>
      <w:r w:rsidR="00903AF6">
        <w:rPr>
          <w:rFonts w:ascii="Gill Sans MT" w:hAnsi="Gill Sans MT" w:cs="Arial"/>
          <w:bCs/>
        </w:rPr>
        <w:t>de 2019, quando havia crescido 1,2%</w:t>
      </w:r>
      <w:r w:rsidR="00C8224F">
        <w:rPr>
          <w:rFonts w:ascii="Gill Sans MT" w:hAnsi="Gill Sans MT" w:cs="Arial"/>
          <w:bCs/>
        </w:rPr>
        <w:t xml:space="preserve"> no trimestre homólogo</w:t>
      </w:r>
      <w:r w:rsidR="00903AF6">
        <w:rPr>
          <w:rFonts w:ascii="Gill Sans MT" w:hAnsi="Gill Sans MT" w:cs="Arial"/>
          <w:bCs/>
        </w:rPr>
        <w:t xml:space="preserve">. Em relação ao III </w:t>
      </w:r>
      <w:r w:rsidR="0036719D">
        <w:rPr>
          <w:rFonts w:ascii="Gill Sans MT" w:hAnsi="Gill Sans MT" w:cs="Arial"/>
          <w:bCs/>
        </w:rPr>
        <w:t>T</w:t>
      </w:r>
      <w:r w:rsidR="00903AF6">
        <w:rPr>
          <w:rFonts w:ascii="Gill Sans MT" w:hAnsi="Gill Sans MT" w:cs="Arial"/>
          <w:bCs/>
        </w:rPr>
        <w:t xml:space="preserve">rimestre de 2020, </w:t>
      </w:r>
      <w:r w:rsidRPr="00887D55">
        <w:rPr>
          <w:rFonts w:ascii="Gill Sans MT" w:hAnsi="Gill Sans MT" w:cs="Arial"/>
          <w:bCs/>
        </w:rPr>
        <w:t>verificou-se um aumento dos serviços e da construção, com recuperação do consumo público e do investimento das empresas, pese embora em níveis abaixo dos vivenciados no período homologo.</w:t>
      </w:r>
    </w:p>
    <w:p w14:paraId="48899F20" w14:textId="7AE054B1" w:rsidR="002D27F2" w:rsidRPr="00227E7E" w:rsidRDefault="00887D55" w:rsidP="00691C5E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887D55">
        <w:rPr>
          <w:rFonts w:ascii="Gill Sans MT" w:hAnsi="Gill Sans MT" w:cs="Arial"/>
          <w:bCs/>
        </w:rPr>
        <w:t xml:space="preserve">No que toca, ao mercado de trabalho, </w:t>
      </w:r>
      <w:r w:rsidR="00903AF6">
        <w:rPr>
          <w:rFonts w:ascii="Gill Sans MT" w:hAnsi="Gill Sans MT" w:cs="Arial"/>
          <w:bCs/>
        </w:rPr>
        <w:t xml:space="preserve">tem-se que no IV </w:t>
      </w:r>
      <w:r w:rsidR="0036719D">
        <w:rPr>
          <w:rFonts w:ascii="Gill Sans MT" w:hAnsi="Gill Sans MT" w:cs="Arial"/>
          <w:bCs/>
        </w:rPr>
        <w:t>T</w:t>
      </w:r>
      <w:r w:rsidR="00903AF6">
        <w:rPr>
          <w:rFonts w:ascii="Gill Sans MT" w:hAnsi="Gill Sans MT" w:cs="Arial"/>
          <w:bCs/>
        </w:rPr>
        <w:t>rimestre</w:t>
      </w:r>
      <w:r w:rsidR="00903AF6" w:rsidRPr="00887D55">
        <w:rPr>
          <w:rFonts w:ascii="Gill Sans MT" w:hAnsi="Gill Sans MT" w:cs="Arial"/>
          <w:bCs/>
        </w:rPr>
        <w:t xml:space="preserve"> </w:t>
      </w:r>
      <w:r w:rsidRPr="00887D55">
        <w:rPr>
          <w:rFonts w:ascii="Gill Sans MT" w:hAnsi="Gill Sans MT" w:cs="Arial"/>
          <w:bCs/>
        </w:rPr>
        <w:t xml:space="preserve">a taxa de desemprego atingiu os níveis mais altos desde o </w:t>
      </w:r>
      <w:r w:rsidR="00903AF6">
        <w:rPr>
          <w:rFonts w:ascii="Gill Sans MT" w:hAnsi="Gill Sans MT" w:cs="Arial"/>
          <w:bCs/>
        </w:rPr>
        <w:t>I</w:t>
      </w:r>
      <w:r w:rsidR="00903AF6" w:rsidRPr="00887D55">
        <w:rPr>
          <w:rFonts w:ascii="Gill Sans MT" w:hAnsi="Gill Sans MT" w:cs="Arial"/>
          <w:bCs/>
        </w:rPr>
        <w:t xml:space="preserve"> </w:t>
      </w:r>
      <w:r w:rsidR="0036719D">
        <w:rPr>
          <w:rFonts w:ascii="Gill Sans MT" w:hAnsi="Gill Sans MT" w:cs="Arial"/>
          <w:bCs/>
        </w:rPr>
        <w:t>T</w:t>
      </w:r>
      <w:r w:rsidR="0036719D" w:rsidRPr="00887D55">
        <w:rPr>
          <w:rFonts w:ascii="Gill Sans MT" w:hAnsi="Gill Sans MT" w:cs="Arial"/>
          <w:bCs/>
        </w:rPr>
        <w:t xml:space="preserve">rimestre </w:t>
      </w:r>
      <w:r w:rsidRPr="00887D55">
        <w:rPr>
          <w:rFonts w:ascii="Gill Sans MT" w:hAnsi="Gill Sans MT" w:cs="Arial"/>
          <w:bCs/>
        </w:rPr>
        <w:t>de 2016, situando-se nos 5,0%</w:t>
      </w:r>
      <w:r w:rsidR="00903AF6">
        <w:rPr>
          <w:rFonts w:ascii="Gill Sans MT" w:hAnsi="Gill Sans MT" w:cs="Arial"/>
          <w:bCs/>
        </w:rPr>
        <w:t>, ante</w:t>
      </w:r>
      <w:r w:rsidRPr="00887D55">
        <w:rPr>
          <w:rFonts w:ascii="Gill Sans MT" w:hAnsi="Gill Sans MT" w:cs="Arial"/>
          <w:bCs/>
        </w:rPr>
        <w:t xml:space="preserve"> 3,8% no período hom</w:t>
      </w:r>
      <w:r w:rsidR="00903AF6">
        <w:rPr>
          <w:rFonts w:ascii="Gill Sans MT" w:hAnsi="Gill Sans MT" w:cs="Arial"/>
          <w:bCs/>
        </w:rPr>
        <w:t>ó</w:t>
      </w:r>
      <w:r w:rsidRPr="00887D55">
        <w:rPr>
          <w:rFonts w:ascii="Gill Sans MT" w:hAnsi="Gill Sans MT" w:cs="Arial"/>
          <w:bCs/>
        </w:rPr>
        <w:t>logo</w:t>
      </w:r>
      <w:r w:rsidR="008F72CA">
        <w:rPr>
          <w:rFonts w:ascii="Gill Sans MT" w:hAnsi="Gill Sans MT" w:cs="Arial"/>
          <w:bCs/>
        </w:rPr>
        <w:t>,</w:t>
      </w:r>
      <w:r w:rsidRPr="00887D55">
        <w:rPr>
          <w:rFonts w:ascii="Gill Sans MT" w:hAnsi="Gill Sans MT" w:cs="Arial"/>
          <w:bCs/>
        </w:rPr>
        <w:t xml:space="preserve"> enquanto a taxa de inflação manteve sua trajetória decrescente, situando-se nos 0,5% no trimestre (-0,9 p.p. em relação ao período homologo).</w:t>
      </w:r>
    </w:p>
    <w:p w14:paraId="768BF597" w14:textId="77777777" w:rsidR="00523F49" w:rsidRPr="00D60595" w:rsidRDefault="00523F49" w:rsidP="00523F49">
      <w:pPr>
        <w:spacing w:before="240"/>
        <w:jc w:val="center"/>
        <w:rPr>
          <w:rFonts w:ascii="Gill Sans MT" w:eastAsia="Calibri" w:hAnsi="Gill Sans MT"/>
          <w:b/>
          <w:bCs/>
        </w:rPr>
      </w:pPr>
      <w:r w:rsidRPr="00D60595">
        <w:rPr>
          <w:rFonts w:ascii="Gill Sans MT" w:eastAsia="Calibri" w:hAnsi="Gill Sans MT"/>
          <w:b/>
          <w:bCs/>
        </w:rPr>
        <w:t>Gráfico 3: Evolução do Índice de Preços de Combustíveis</w:t>
      </w:r>
    </w:p>
    <w:p w14:paraId="0048EA7C" w14:textId="16E822CE" w:rsidR="00523F49" w:rsidRDefault="002609D3" w:rsidP="00523F49">
      <w:pPr>
        <w:jc w:val="center"/>
        <w:rPr>
          <w:rFonts w:ascii="Gill Sans MT" w:eastAsia="Calibri" w:hAnsi="Gill Sans MT"/>
          <w:b/>
          <w:sz w:val="18"/>
          <w:szCs w:val="18"/>
        </w:rPr>
      </w:pPr>
      <w:r w:rsidRPr="002609D3">
        <w:rPr>
          <w:noProof/>
          <w:lang w:eastAsia="pt-PT"/>
        </w:rPr>
        <w:drawing>
          <wp:inline distT="0" distB="0" distL="0" distR="0" wp14:anchorId="4F6A5AD9" wp14:editId="7FFCDC16">
            <wp:extent cx="5760720" cy="3077048"/>
            <wp:effectExtent l="0" t="0" r="0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F49" w:rsidRPr="00523F49">
        <w:rPr>
          <w:rFonts w:ascii="Gill Sans MT" w:eastAsia="Calibri" w:hAnsi="Gill Sans MT"/>
          <w:b/>
          <w:sz w:val="18"/>
          <w:szCs w:val="18"/>
        </w:rPr>
        <w:t xml:space="preserve"> </w:t>
      </w:r>
    </w:p>
    <w:p w14:paraId="4286FD72" w14:textId="06604E77" w:rsidR="00523F49" w:rsidRPr="00E32402" w:rsidRDefault="00523F49" w:rsidP="00523F49">
      <w:pPr>
        <w:jc w:val="center"/>
        <w:rPr>
          <w:rFonts w:ascii="Gill Sans MT" w:eastAsia="Calibri" w:hAnsi="Gill Sans MT"/>
          <w:b/>
          <w:sz w:val="18"/>
          <w:szCs w:val="18"/>
        </w:rPr>
      </w:pPr>
      <w:r w:rsidRPr="00E32402">
        <w:rPr>
          <w:rFonts w:ascii="Gill Sans MT" w:eastAsia="Calibri" w:hAnsi="Gill Sans MT"/>
          <w:b/>
          <w:sz w:val="18"/>
          <w:szCs w:val="18"/>
        </w:rPr>
        <w:t xml:space="preserve">Fonte: </w:t>
      </w:r>
      <w:proofErr w:type="spellStart"/>
      <w:r w:rsidRPr="00E32402">
        <w:rPr>
          <w:rFonts w:ascii="Gill Sans MT" w:eastAsia="Calibri" w:hAnsi="Gill Sans MT"/>
          <w:sz w:val="18"/>
          <w:szCs w:val="18"/>
        </w:rPr>
        <w:t>World</w:t>
      </w:r>
      <w:proofErr w:type="spellEnd"/>
      <w:r w:rsidRPr="00E32402">
        <w:rPr>
          <w:rFonts w:ascii="Gill Sans MT" w:eastAsia="Calibri" w:hAnsi="Gill Sans MT"/>
          <w:sz w:val="18"/>
          <w:szCs w:val="18"/>
        </w:rPr>
        <w:t xml:space="preserve"> </w:t>
      </w:r>
      <w:proofErr w:type="spellStart"/>
      <w:r w:rsidRPr="00E32402">
        <w:rPr>
          <w:rFonts w:ascii="Gill Sans MT" w:eastAsia="Calibri" w:hAnsi="Gill Sans MT"/>
          <w:sz w:val="18"/>
          <w:szCs w:val="18"/>
        </w:rPr>
        <w:t>Bank</w:t>
      </w:r>
      <w:proofErr w:type="spellEnd"/>
      <w:r w:rsidRPr="00E32402">
        <w:rPr>
          <w:rFonts w:ascii="Gill Sans MT" w:eastAsia="Calibri" w:hAnsi="Gill Sans MT"/>
          <w:sz w:val="18"/>
          <w:szCs w:val="18"/>
        </w:rPr>
        <w:t>, outubro de 2020</w:t>
      </w:r>
    </w:p>
    <w:p w14:paraId="7A5A2AC1" w14:textId="0B1E1273" w:rsidR="00227E7E" w:rsidRDefault="00C758C2" w:rsidP="00691C5E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O</w:t>
      </w:r>
      <w:r w:rsidR="00887D55" w:rsidRPr="00887D55">
        <w:rPr>
          <w:rFonts w:ascii="Gill Sans MT" w:hAnsi="Gill Sans MT" w:cs="Arial"/>
          <w:bCs/>
        </w:rPr>
        <w:t xml:space="preserve">s preços internacionais dos </w:t>
      </w:r>
      <w:proofErr w:type="spellStart"/>
      <w:r w:rsidR="00887D55" w:rsidRPr="0071471F">
        <w:rPr>
          <w:rFonts w:ascii="Gill Sans MT" w:hAnsi="Gill Sans MT" w:cs="Arial"/>
          <w:bCs/>
          <w:i/>
        </w:rPr>
        <w:t>commodities</w:t>
      </w:r>
      <w:proofErr w:type="spellEnd"/>
      <w:r w:rsidR="00887D55" w:rsidRPr="00887D55">
        <w:rPr>
          <w:rFonts w:ascii="Gill Sans MT" w:hAnsi="Gill Sans MT" w:cs="Arial"/>
          <w:bCs/>
        </w:rPr>
        <w:t xml:space="preserve"> verificaram oscilações decorrentes dos efeitos da covid-19, tendo o índice global de preços de </w:t>
      </w:r>
      <w:proofErr w:type="spellStart"/>
      <w:r w:rsidR="00887D55" w:rsidRPr="0071471F">
        <w:rPr>
          <w:rFonts w:ascii="Gill Sans MT" w:hAnsi="Gill Sans MT" w:cs="Arial"/>
          <w:bCs/>
          <w:i/>
        </w:rPr>
        <w:t>commodities</w:t>
      </w:r>
      <w:proofErr w:type="spellEnd"/>
      <w:r w:rsidR="00887D55" w:rsidRPr="00887D55">
        <w:rPr>
          <w:rFonts w:ascii="Gill Sans MT" w:hAnsi="Gill Sans MT" w:cs="Arial"/>
          <w:bCs/>
        </w:rPr>
        <w:t xml:space="preserve"> aumentado 0,1% entre outubro </w:t>
      </w:r>
      <w:r w:rsidR="00EF6E9B">
        <w:rPr>
          <w:rFonts w:ascii="Gill Sans MT" w:hAnsi="Gill Sans MT" w:cs="Arial"/>
          <w:bCs/>
        </w:rPr>
        <w:t>e</w:t>
      </w:r>
      <w:r w:rsidR="00887D55" w:rsidRPr="00887D55">
        <w:rPr>
          <w:rFonts w:ascii="Gill Sans MT" w:hAnsi="Gill Sans MT" w:cs="Arial"/>
          <w:bCs/>
        </w:rPr>
        <w:t xml:space="preserve"> dezembro de 2020. </w:t>
      </w:r>
      <w:r w:rsidRPr="00887D55">
        <w:rPr>
          <w:rFonts w:ascii="Gill Sans MT" w:hAnsi="Gill Sans MT" w:cs="Arial"/>
          <w:bCs/>
        </w:rPr>
        <w:t xml:space="preserve">Acompanhando a dinâmica económica mundial, </w:t>
      </w:r>
      <w:r>
        <w:rPr>
          <w:rFonts w:ascii="Gill Sans MT" w:hAnsi="Gill Sans MT" w:cs="Arial"/>
          <w:bCs/>
        </w:rPr>
        <w:t xml:space="preserve">o </w:t>
      </w:r>
      <w:r w:rsidR="00887D55" w:rsidRPr="00887D55">
        <w:rPr>
          <w:rFonts w:ascii="Gill Sans MT" w:hAnsi="Gill Sans MT" w:cs="Arial"/>
          <w:bCs/>
        </w:rPr>
        <w:t>preço dos produtos energéticos diminuiu 24,0</w:t>
      </w:r>
      <w:r w:rsidR="00AD4D0A">
        <w:rPr>
          <w:rFonts w:ascii="Gill Sans MT" w:hAnsi="Gill Sans MT" w:cs="Arial"/>
          <w:bCs/>
        </w:rPr>
        <w:t xml:space="preserve">% no </w:t>
      </w:r>
      <w:r w:rsidR="00903AF6">
        <w:rPr>
          <w:rFonts w:ascii="Gill Sans MT" w:hAnsi="Gill Sans MT" w:cs="Arial"/>
          <w:bCs/>
        </w:rPr>
        <w:t xml:space="preserve">IV </w:t>
      </w:r>
      <w:r w:rsidR="0036719D">
        <w:rPr>
          <w:rFonts w:ascii="Gill Sans MT" w:hAnsi="Gill Sans MT" w:cs="Arial"/>
          <w:bCs/>
        </w:rPr>
        <w:t xml:space="preserve">Trimestre </w:t>
      </w:r>
      <w:r w:rsidR="00AD4D0A">
        <w:rPr>
          <w:rFonts w:ascii="Gill Sans MT" w:hAnsi="Gill Sans MT" w:cs="Arial"/>
          <w:bCs/>
        </w:rPr>
        <w:t xml:space="preserve">de 2020, </w:t>
      </w:r>
      <w:r w:rsidR="00887D55" w:rsidRPr="00887D55">
        <w:rPr>
          <w:rFonts w:ascii="Gill Sans MT" w:hAnsi="Gill Sans MT" w:cs="Arial"/>
          <w:bCs/>
        </w:rPr>
        <w:t>quando co</w:t>
      </w:r>
      <w:r w:rsidR="00202697">
        <w:rPr>
          <w:rFonts w:ascii="Gill Sans MT" w:hAnsi="Gill Sans MT" w:cs="Arial"/>
          <w:bCs/>
        </w:rPr>
        <w:t>mparado com o período homó</w:t>
      </w:r>
      <w:r w:rsidR="00AD4D0A">
        <w:rPr>
          <w:rFonts w:ascii="Gill Sans MT" w:hAnsi="Gill Sans MT" w:cs="Arial"/>
          <w:bCs/>
        </w:rPr>
        <w:t xml:space="preserve">logo. </w:t>
      </w:r>
      <w:r w:rsidR="00887D55" w:rsidRPr="00887D55">
        <w:rPr>
          <w:rFonts w:ascii="Gill Sans MT" w:hAnsi="Gill Sans MT" w:cs="Arial"/>
          <w:bCs/>
        </w:rPr>
        <w:t xml:space="preserve"> </w:t>
      </w:r>
      <w:r w:rsidR="00AD4D0A">
        <w:rPr>
          <w:rFonts w:ascii="Gill Sans MT" w:hAnsi="Gill Sans MT" w:cs="Arial"/>
          <w:bCs/>
        </w:rPr>
        <w:t>N</w:t>
      </w:r>
      <w:r w:rsidR="00887D55" w:rsidRPr="00887D55">
        <w:rPr>
          <w:rFonts w:ascii="Gill Sans MT" w:hAnsi="Gill Sans MT" w:cs="Arial"/>
          <w:bCs/>
        </w:rPr>
        <w:t>esse grupo vale ressaltar a</w:t>
      </w:r>
      <w:r w:rsidR="00AD4D0A">
        <w:rPr>
          <w:rFonts w:ascii="Gill Sans MT" w:hAnsi="Gill Sans MT" w:cs="Arial"/>
          <w:bCs/>
        </w:rPr>
        <w:t xml:space="preserve"> queda de 28,9%</w:t>
      </w:r>
      <w:r w:rsidR="00887D55" w:rsidRPr="00887D55">
        <w:rPr>
          <w:rFonts w:ascii="Gill Sans MT" w:hAnsi="Gill Sans MT" w:cs="Arial"/>
          <w:bCs/>
        </w:rPr>
        <w:t xml:space="preserve"> </w:t>
      </w:r>
      <w:r w:rsidR="00AD4D0A">
        <w:rPr>
          <w:rFonts w:ascii="Gill Sans MT" w:hAnsi="Gill Sans MT" w:cs="Arial"/>
          <w:bCs/>
        </w:rPr>
        <w:t>n</w:t>
      </w:r>
      <w:r w:rsidR="00887D55" w:rsidRPr="00887D55">
        <w:rPr>
          <w:rFonts w:ascii="Gill Sans MT" w:hAnsi="Gill Sans MT" w:cs="Arial"/>
          <w:bCs/>
        </w:rPr>
        <w:t xml:space="preserve">o preço do petróleo (Brent) que custava no período 44,5 USD/barril, ante 62,7 USD/barril no </w:t>
      </w:r>
      <w:r w:rsidR="00AD4D0A">
        <w:rPr>
          <w:rFonts w:ascii="Gill Sans MT" w:hAnsi="Gill Sans MT" w:cs="Arial"/>
          <w:bCs/>
        </w:rPr>
        <w:t>trimestre homólogo</w:t>
      </w:r>
      <w:r w:rsidR="00887D55" w:rsidRPr="00887D55">
        <w:rPr>
          <w:rFonts w:ascii="Gill Sans MT" w:hAnsi="Gill Sans MT" w:cs="Arial"/>
          <w:bCs/>
        </w:rPr>
        <w:t>.</w:t>
      </w:r>
    </w:p>
    <w:p w14:paraId="25D4E982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78102FBB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505D40DA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6E39F706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1EA0048F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33E052AC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3135E328" w14:textId="77777777" w:rsidR="00C36DF1" w:rsidRDefault="00C36DF1" w:rsidP="00523F49">
      <w:pPr>
        <w:jc w:val="center"/>
        <w:rPr>
          <w:rFonts w:ascii="Gill Sans MT" w:eastAsia="Calibri" w:hAnsi="Gill Sans MT"/>
          <w:b/>
          <w:bCs/>
        </w:rPr>
      </w:pPr>
    </w:p>
    <w:p w14:paraId="453D7222" w14:textId="7C786133" w:rsidR="00523F49" w:rsidRPr="00243191" w:rsidRDefault="00523F49" w:rsidP="00523F49">
      <w:pPr>
        <w:jc w:val="center"/>
        <w:rPr>
          <w:rFonts w:ascii="Gill Sans MT" w:eastAsia="Calibri" w:hAnsi="Gill Sans MT"/>
          <w:b/>
          <w:bCs/>
        </w:rPr>
      </w:pPr>
      <w:r w:rsidRPr="00243191">
        <w:rPr>
          <w:rFonts w:ascii="Gill Sans MT" w:eastAsia="Calibri" w:hAnsi="Gill Sans MT"/>
          <w:b/>
          <w:bCs/>
        </w:rPr>
        <w:t>Gráfico 4: Evolução do Índice de Preços de Produtos Alimentares</w:t>
      </w:r>
    </w:p>
    <w:p w14:paraId="61506D20" w14:textId="687FBD5A" w:rsidR="00523F49" w:rsidRPr="00243191" w:rsidRDefault="002E4698" w:rsidP="00523F49">
      <w:pPr>
        <w:jc w:val="center"/>
        <w:rPr>
          <w:rFonts w:ascii="Gill Sans MT" w:eastAsia="Arial" w:hAnsi="Gill Sans MT" w:cstheme="minorHAnsi"/>
          <w:lang w:eastAsia="pt-PT"/>
        </w:rPr>
      </w:pPr>
      <w:r w:rsidRPr="002E4698">
        <w:rPr>
          <w:noProof/>
          <w:lang w:eastAsia="pt-PT"/>
        </w:rPr>
        <w:drawing>
          <wp:inline distT="0" distB="0" distL="0" distR="0" wp14:anchorId="437B3B34" wp14:editId="53814790">
            <wp:extent cx="5760720" cy="2573822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4F3F" w14:textId="76683093" w:rsidR="00523F49" w:rsidRPr="008C4B40" w:rsidRDefault="00523F49" w:rsidP="00523F49">
      <w:pPr>
        <w:jc w:val="center"/>
        <w:rPr>
          <w:rFonts w:ascii="Gill Sans MT" w:eastAsia="Calibri" w:hAnsi="Gill Sans MT"/>
          <w:b/>
          <w:sz w:val="18"/>
          <w:szCs w:val="18"/>
        </w:rPr>
      </w:pPr>
      <w:r w:rsidRPr="008C4B40">
        <w:rPr>
          <w:rFonts w:ascii="Gill Sans MT" w:eastAsia="Calibri" w:hAnsi="Gill Sans MT"/>
          <w:b/>
          <w:sz w:val="18"/>
          <w:szCs w:val="18"/>
        </w:rPr>
        <w:t xml:space="preserve">Fonte: </w:t>
      </w:r>
      <w:r w:rsidRPr="008C4B40">
        <w:rPr>
          <w:rFonts w:ascii="Gill Sans MT" w:eastAsia="Calibri" w:hAnsi="Gill Sans MT"/>
          <w:sz w:val="18"/>
          <w:szCs w:val="18"/>
        </w:rPr>
        <w:t>FAO, outubro de 2020.</w:t>
      </w:r>
    </w:p>
    <w:p w14:paraId="70E2259B" w14:textId="3384E5C8" w:rsidR="007871E1" w:rsidRPr="007871E1" w:rsidRDefault="007871E1" w:rsidP="007871E1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</w:pPr>
      <w:r w:rsidRPr="007871E1">
        <w:rPr>
          <w:rFonts w:ascii="Gill Sans MT" w:hAnsi="Gill Sans MT" w:cs="Arial"/>
          <w:bCs/>
        </w:rPr>
        <w:t xml:space="preserve">O preço dos </w:t>
      </w:r>
      <w:r w:rsidR="00290843">
        <w:rPr>
          <w:rFonts w:ascii="Gill Sans MT" w:hAnsi="Gill Sans MT" w:cs="Arial"/>
          <w:bCs/>
        </w:rPr>
        <w:t>não energéticos aumentou 13,0% face ao período homologo</w:t>
      </w:r>
      <w:r w:rsidRPr="007871E1">
        <w:rPr>
          <w:rFonts w:ascii="Gill Sans MT" w:hAnsi="Gill Sans MT" w:cs="Arial"/>
          <w:bCs/>
        </w:rPr>
        <w:t xml:space="preserve">, </w:t>
      </w:r>
      <w:r w:rsidR="00290843">
        <w:rPr>
          <w:rFonts w:ascii="Gill Sans MT" w:hAnsi="Gill Sans MT" w:cs="Arial"/>
          <w:bCs/>
        </w:rPr>
        <w:t>derivado</w:t>
      </w:r>
      <w:r w:rsidRPr="007871E1">
        <w:rPr>
          <w:rFonts w:ascii="Gill Sans MT" w:hAnsi="Gill Sans MT" w:cs="Arial"/>
          <w:bCs/>
        </w:rPr>
        <w:t xml:space="preserve"> </w:t>
      </w:r>
      <w:r w:rsidR="00290843">
        <w:rPr>
          <w:rFonts w:ascii="Gill Sans MT" w:hAnsi="Gill Sans MT" w:cs="Arial"/>
          <w:bCs/>
        </w:rPr>
        <w:t>do</w:t>
      </w:r>
      <w:r w:rsidRPr="007871E1">
        <w:rPr>
          <w:rFonts w:ascii="Gill Sans MT" w:hAnsi="Gill Sans MT" w:cs="Arial"/>
          <w:bCs/>
        </w:rPr>
        <w:t xml:space="preserve"> aumento do preço dos produtos agrícolas (</w:t>
      </w:r>
      <w:r w:rsidR="00290843">
        <w:rPr>
          <w:rFonts w:ascii="Gill Sans MT" w:hAnsi="Gill Sans MT" w:cs="Arial"/>
          <w:bCs/>
        </w:rPr>
        <w:t>+</w:t>
      </w:r>
      <w:r w:rsidRPr="007871E1">
        <w:rPr>
          <w:rFonts w:ascii="Gill Sans MT" w:hAnsi="Gill Sans MT" w:cs="Arial"/>
          <w:bCs/>
        </w:rPr>
        <w:t>10,5%), dos metais e minerais (</w:t>
      </w:r>
      <w:r w:rsidR="00290843">
        <w:rPr>
          <w:rFonts w:ascii="Gill Sans MT" w:hAnsi="Gill Sans MT" w:cs="Arial"/>
          <w:bCs/>
        </w:rPr>
        <w:t>+</w:t>
      </w:r>
      <w:r w:rsidRPr="007871E1">
        <w:rPr>
          <w:rFonts w:ascii="Gill Sans MT" w:hAnsi="Gill Sans MT" w:cs="Arial"/>
          <w:bCs/>
        </w:rPr>
        <w:t>19,7%) e dos fertilizantes (</w:t>
      </w:r>
      <w:r w:rsidR="00290843">
        <w:rPr>
          <w:rFonts w:ascii="Gill Sans MT" w:hAnsi="Gill Sans MT" w:cs="Arial"/>
          <w:bCs/>
        </w:rPr>
        <w:t>+</w:t>
      </w:r>
      <w:r w:rsidRPr="007871E1">
        <w:rPr>
          <w:rFonts w:ascii="Gill Sans MT" w:hAnsi="Gill Sans MT" w:cs="Arial"/>
          <w:bCs/>
        </w:rPr>
        <w:t xml:space="preserve">3,2%).  De acordo com os dados da FAO, o índice de preços de alimentos </w:t>
      </w:r>
      <w:r w:rsidR="00290843">
        <w:rPr>
          <w:rFonts w:ascii="Gill Sans MT" w:hAnsi="Gill Sans MT" w:cs="Arial"/>
          <w:bCs/>
        </w:rPr>
        <w:t xml:space="preserve">aumentou 7,0% no </w:t>
      </w:r>
      <w:r w:rsidR="00290843" w:rsidRPr="007871E1">
        <w:rPr>
          <w:rFonts w:ascii="Gill Sans MT" w:hAnsi="Gill Sans MT" w:cs="Arial"/>
          <w:bCs/>
        </w:rPr>
        <w:t>período</w:t>
      </w:r>
      <w:r w:rsidRPr="007871E1">
        <w:rPr>
          <w:rFonts w:ascii="Gill Sans MT" w:hAnsi="Gill Sans MT" w:cs="Arial"/>
          <w:bCs/>
        </w:rPr>
        <w:t>, com especial destaque para os preços dos óleos vegetais (+28,9%), dos cereais (+18,6%), do açúcar (+8,1%) e dos produtos láteos (+4,0%), apesar da diminuição dos preços da carne (-11,0%).</w:t>
      </w:r>
    </w:p>
    <w:p w14:paraId="0F36F8BE" w14:textId="77777777" w:rsidR="007871E1" w:rsidRPr="00691C5E" w:rsidRDefault="007871E1" w:rsidP="00691C5E">
      <w:pPr>
        <w:spacing w:before="120" w:after="120" w:line="360" w:lineRule="auto"/>
        <w:ind w:right="65"/>
        <w:jc w:val="both"/>
        <w:rPr>
          <w:rFonts w:ascii="Gill Sans MT" w:hAnsi="Gill Sans MT" w:cs="Arial"/>
          <w:bCs/>
        </w:rPr>
        <w:sectPr w:rsidR="007871E1" w:rsidRPr="00691C5E" w:rsidSect="00AF1A1D">
          <w:footerReference w:type="default" r:id="rId19"/>
          <w:headerReference w:type="first" r:id="rId20"/>
          <w:pgSz w:w="11906" w:h="16838"/>
          <w:pgMar w:top="1418" w:right="1133" w:bottom="1276" w:left="1701" w:header="709" w:footer="709" w:gutter="0"/>
          <w:cols w:space="143"/>
          <w:docGrid w:linePitch="360"/>
        </w:sectPr>
      </w:pPr>
    </w:p>
    <w:p w14:paraId="4DFF8B5F" w14:textId="77777777" w:rsidR="00CF0F0D" w:rsidRPr="000330C7" w:rsidRDefault="00CF0F0D" w:rsidP="0059546D">
      <w:pPr>
        <w:pStyle w:val="PargrafodaLista"/>
        <w:numPr>
          <w:ilvl w:val="0"/>
          <w:numId w:val="8"/>
        </w:numPr>
        <w:spacing w:after="200" w:line="480" w:lineRule="auto"/>
        <w:outlineLvl w:val="1"/>
        <w:rPr>
          <w:rFonts w:ascii="Gill Sans MT" w:hAnsi="Gill Sans MT"/>
          <w:b/>
          <w:color w:val="323E4F" w:themeColor="text2" w:themeShade="BF"/>
        </w:rPr>
      </w:pPr>
      <w:bookmarkStart w:id="2" w:name="_Toc475366430"/>
      <w:bookmarkStart w:id="3" w:name="_Toc521065277"/>
      <w:bookmarkStart w:id="4" w:name="_Toc65659054"/>
      <w:r w:rsidRPr="000330C7">
        <w:rPr>
          <w:rFonts w:ascii="Gill Sans MT" w:hAnsi="Gill Sans MT"/>
          <w:b/>
          <w:color w:val="323E4F" w:themeColor="text2" w:themeShade="BF"/>
        </w:rPr>
        <w:lastRenderedPageBreak/>
        <w:t>Conjuntura Económica Nacional</w:t>
      </w:r>
      <w:bookmarkEnd w:id="2"/>
      <w:bookmarkEnd w:id="3"/>
      <w:bookmarkEnd w:id="4"/>
      <w:r w:rsidRPr="000330C7">
        <w:rPr>
          <w:rFonts w:ascii="Gill Sans MT" w:hAnsi="Gill Sans MT"/>
          <w:b/>
          <w:color w:val="323E4F" w:themeColor="text2" w:themeShade="BF"/>
        </w:rPr>
        <w:t xml:space="preserve"> </w:t>
      </w:r>
    </w:p>
    <w:p w14:paraId="5F928C95" w14:textId="77777777" w:rsidR="00CF0F0D" w:rsidRPr="000330C7" w:rsidRDefault="00CF0F0D" w:rsidP="0059546D">
      <w:pPr>
        <w:spacing w:before="240" w:after="240" w:line="480" w:lineRule="auto"/>
        <w:ind w:firstLine="709"/>
        <w:outlineLvl w:val="1"/>
        <w:rPr>
          <w:rFonts w:ascii="Gill Sans MT" w:hAnsi="Gill Sans MT" w:cs="Arial"/>
          <w:b/>
          <w:bCs/>
        </w:rPr>
      </w:pPr>
      <w:bookmarkStart w:id="5" w:name="_Toc521065278"/>
      <w:bookmarkStart w:id="6" w:name="_Toc65659055"/>
      <w:r w:rsidRPr="000330C7">
        <w:rPr>
          <w:rFonts w:ascii="Gill Sans MT" w:hAnsi="Gill Sans MT" w:cs="Arial"/>
          <w:b/>
          <w:bCs/>
        </w:rPr>
        <w:t>II.1.    Setor Real</w:t>
      </w:r>
      <w:bookmarkEnd w:id="5"/>
      <w:bookmarkEnd w:id="6"/>
    </w:p>
    <w:p w14:paraId="442DBD45" w14:textId="1BB67AE7" w:rsidR="00CF0F0D" w:rsidRDefault="006D630C" w:rsidP="008465D4">
      <w:pPr>
        <w:spacing w:before="240" w:after="5" w:line="360" w:lineRule="auto"/>
        <w:ind w:right="65"/>
        <w:jc w:val="both"/>
        <w:rPr>
          <w:rFonts w:ascii="Gill Sans MT" w:hAnsi="Gill Sans MT" w:cs="Arial"/>
          <w:bCs/>
        </w:rPr>
      </w:pPr>
      <w:r w:rsidRPr="006D630C">
        <w:rPr>
          <w:rFonts w:ascii="Gill Sans MT" w:hAnsi="Gill Sans MT" w:cs="Arial"/>
          <w:bCs/>
        </w:rPr>
        <w:t xml:space="preserve">A </w:t>
      </w:r>
      <w:r>
        <w:rPr>
          <w:rFonts w:ascii="Gill Sans MT" w:hAnsi="Gill Sans MT" w:cs="Arial"/>
          <w:bCs/>
        </w:rPr>
        <w:t>economia cabo-verdiana</w:t>
      </w:r>
      <w:r w:rsidRPr="006D630C">
        <w:rPr>
          <w:rFonts w:ascii="Gill Sans MT" w:hAnsi="Gill Sans MT" w:cs="Arial"/>
          <w:bCs/>
        </w:rPr>
        <w:t xml:space="preserve"> </w:t>
      </w:r>
      <w:r w:rsidR="00F158C0">
        <w:rPr>
          <w:rFonts w:ascii="Gill Sans MT" w:hAnsi="Gill Sans MT" w:cs="Arial"/>
          <w:bCs/>
        </w:rPr>
        <w:t xml:space="preserve">entrou em recessão </w:t>
      </w:r>
      <w:r w:rsidR="00EF6E9B">
        <w:rPr>
          <w:rFonts w:ascii="Gill Sans MT" w:hAnsi="Gill Sans MT" w:cs="Arial"/>
          <w:bCs/>
        </w:rPr>
        <w:t xml:space="preserve">económica </w:t>
      </w:r>
      <w:r w:rsidR="00F158C0">
        <w:rPr>
          <w:rFonts w:ascii="Gill Sans MT" w:hAnsi="Gill Sans MT" w:cs="Arial"/>
          <w:bCs/>
        </w:rPr>
        <w:t xml:space="preserve">depois de desacelerar em dois trimestres consecutivos, reflexo dos </w:t>
      </w:r>
      <w:r w:rsidR="004E3778">
        <w:rPr>
          <w:rFonts w:ascii="Gill Sans MT" w:hAnsi="Gill Sans MT" w:cs="Arial"/>
          <w:bCs/>
        </w:rPr>
        <w:t xml:space="preserve">choques causados pela </w:t>
      </w:r>
      <w:r w:rsidR="00F158C0">
        <w:rPr>
          <w:rFonts w:ascii="Gill Sans MT" w:hAnsi="Gill Sans MT" w:cs="Arial"/>
          <w:bCs/>
        </w:rPr>
        <w:t>pandemia do COVID-19</w:t>
      </w:r>
      <w:r w:rsidRPr="006D630C">
        <w:rPr>
          <w:rFonts w:ascii="Gill Sans MT" w:hAnsi="Gill Sans MT" w:cs="Arial"/>
          <w:bCs/>
        </w:rPr>
        <w:t xml:space="preserve">. </w:t>
      </w:r>
      <w:r w:rsidR="00F158C0">
        <w:rPr>
          <w:rFonts w:ascii="Gill Sans MT" w:hAnsi="Gill Sans MT" w:cs="Arial"/>
          <w:bCs/>
        </w:rPr>
        <w:t xml:space="preserve">Da queda histórica de 31,7% apresentada no </w:t>
      </w:r>
      <w:r w:rsidR="00E57859">
        <w:rPr>
          <w:rFonts w:ascii="Gill Sans MT" w:hAnsi="Gill Sans MT" w:cs="Arial"/>
          <w:bCs/>
        </w:rPr>
        <w:t xml:space="preserve">II </w:t>
      </w:r>
      <w:r w:rsidR="0036719D">
        <w:rPr>
          <w:rFonts w:ascii="Gill Sans MT" w:hAnsi="Gill Sans MT" w:cs="Arial"/>
          <w:bCs/>
        </w:rPr>
        <w:t xml:space="preserve">Trimestre </w:t>
      </w:r>
      <w:r w:rsidR="00E57859">
        <w:rPr>
          <w:rFonts w:ascii="Gill Sans MT" w:hAnsi="Gill Sans MT" w:cs="Arial"/>
          <w:bCs/>
        </w:rPr>
        <w:t>de 2020</w:t>
      </w:r>
      <w:r w:rsidR="00F158C0">
        <w:rPr>
          <w:rFonts w:ascii="Gill Sans MT" w:hAnsi="Gill Sans MT" w:cs="Arial"/>
          <w:bCs/>
        </w:rPr>
        <w:t>, a atividade voltou a retrair</w:t>
      </w:r>
      <w:r w:rsidR="006D0CF4">
        <w:rPr>
          <w:rFonts w:ascii="Gill Sans MT" w:hAnsi="Gill Sans MT" w:cs="Arial"/>
          <w:bCs/>
        </w:rPr>
        <w:t>, apresenta</w:t>
      </w:r>
      <w:r w:rsidR="009F76F0">
        <w:rPr>
          <w:rFonts w:ascii="Gill Sans MT" w:hAnsi="Gill Sans MT" w:cs="Arial"/>
          <w:bCs/>
        </w:rPr>
        <w:t>n</w:t>
      </w:r>
      <w:r w:rsidR="006D0CF4">
        <w:rPr>
          <w:rFonts w:ascii="Gill Sans MT" w:hAnsi="Gill Sans MT" w:cs="Arial"/>
          <w:bCs/>
        </w:rPr>
        <w:t>do uma queda de</w:t>
      </w:r>
      <w:r w:rsidR="00F158C0">
        <w:rPr>
          <w:rFonts w:ascii="Gill Sans MT" w:hAnsi="Gill Sans MT" w:cs="Arial"/>
          <w:bCs/>
        </w:rPr>
        <w:t xml:space="preserve"> 18,7% no </w:t>
      </w:r>
      <w:r w:rsidR="00E57859">
        <w:rPr>
          <w:rFonts w:ascii="Gill Sans MT" w:hAnsi="Gill Sans MT" w:cs="Arial"/>
          <w:bCs/>
        </w:rPr>
        <w:t xml:space="preserve">III </w:t>
      </w:r>
      <w:r w:rsidR="00F158C0">
        <w:rPr>
          <w:rFonts w:ascii="Gill Sans MT" w:hAnsi="Gill Sans MT" w:cs="Arial"/>
          <w:bCs/>
        </w:rPr>
        <w:t>trimestre de 2020, conforme os dados do Instituto Nacional de Estatísticas (INE).</w:t>
      </w:r>
      <w:r w:rsidR="00C54C4F">
        <w:rPr>
          <w:rFonts w:ascii="Gill Sans MT" w:hAnsi="Gill Sans MT" w:cs="Arial"/>
          <w:bCs/>
        </w:rPr>
        <w:t xml:space="preserve"> </w:t>
      </w:r>
    </w:p>
    <w:p w14:paraId="395420A8" w14:textId="67DF8EDB" w:rsidR="00E57859" w:rsidRDefault="00FE351D" w:rsidP="00FE351D">
      <w:pPr>
        <w:spacing w:before="240" w:after="5" w:line="360" w:lineRule="auto"/>
        <w:ind w:right="65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Decompondo o</w:t>
      </w:r>
      <w:r w:rsidR="006D630C" w:rsidRPr="008465D4">
        <w:rPr>
          <w:rFonts w:ascii="Gill Sans MT" w:hAnsi="Gill Sans MT" w:cs="Arial"/>
          <w:bCs/>
        </w:rPr>
        <w:t xml:space="preserve"> lado da oferta</w:t>
      </w:r>
      <w:r w:rsidR="00EF6E9B">
        <w:rPr>
          <w:rFonts w:ascii="Gill Sans MT" w:hAnsi="Gill Sans MT" w:cs="Arial"/>
          <w:bCs/>
        </w:rPr>
        <w:t>, em relação</w:t>
      </w:r>
      <w:r w:rsidR="00E57859">
        <w:rPr>
          <w:rFonts w:ascii="Gill Sans MT" w:hAnsi="Gill Sans MT" w:cs="Arial"/>
          <w:bCs/>
        </w:rPr>
        <w:t xml:space="preserve"> </w:t>
      </w:r>
      <w:r w:rsidR="00EF6E9B">
        <w:rPr>
          <w:rFonts w:ascii="Gill Sans MT" w:hAnsi="Gill Sans MT" w:cs="Arial"/>
          <w:bCs/>
        </w:rPr>
        <w:t>a</w:t>
      </w:r>
      <w:r w:rsidR="00E57859">
        <w:rPr>
          <w:rFonts w:ascii="Gill Sans MT" w:hAnsi="Gill Sans MT" w:cs="Arial"/>
          <w:bCs/>
        </w:rPr>
        <w:t xml:space="preserve">o resultado do PIB no III </w:t>
      </w:r>
      <w:r w:rsidR="0036719D">
        <w:rPr>
          <w:rFonts w:ascii="Gill Sans MT" w:hAnsi="Gill Sans MT" w:cs="Arial"/>
          <w:bCs/>
        </w:rPr>
        <w:t>T</w:t>
      </w:r>
      <w:r w:rsidR="00E57859">
        <w:rPr>
          <w:rFonts w:ascii="Gill Sans MT" w:hAnsi="Gill Sans MT" w:cs="Arial"/>
          <w:bCs/>
        </w:rPr>
        <w:t>rimestre</w:t>
      </w:r>
      <w:r w:rsidR="006D630C" w:rsidRPr="008465D4">
        <w:rPr>
          <w:rFonts w:ascii="Gill Sans MT" w:hAnsi="Gill Sans MT" w:cs="Arial"/>
          <w:bCs/>
        </w:rPr>
        <w:t xml:space="preserve">, </w:t>
      </w:r>
      <w:r w:rsidR="00E57859">
        <w:rPr>
          <w:rFonts w:ascii="Gill Sans MT" w:hAnsi="Gill Sans MT" w:cs="Arial"/>
          <w:bCs/>
        </w:rPr>
        <w:t>verifica-se</w:t>
      </w:r>
      <w:r w:rsidRPr="00FE351D">
        <w:rPr>
          <w:rFonts w:ascii="Gill Sans MT" w:hAnsi="Gill Sans MT" w:cs="Arial"/>
          <w:bCs/>
        </w:rPr>
        <w:t xml:space="preserve"> </w:t>
      </w:r>
      <w:r w:rsidR="00E57859">
        <w:rPr>
          <w:rFonts w:ascii="Gill Sans MT" w:hAnsi="Gill Sans MT" w:cs="Arial"/>
          <w:bCs/>
        </w:rPr>
        <w:t>os</w:t>
      </w:r>
      <w:r w:rsidRPr="00FE351D">
        <w:rPr>
          <w:rFonts w:ascii="Gill Sans MT" w:hAnsi="Gill Sans MT" w:cs="Arial"/>
          <w:bCs/>
        </w:rPr>
        <w:t xml:space="preserve"> contributos negativos de todos os setores, tendo por base a paralisação do turismo e suas conexões com os demais setores, além das medidas de distanciamento</w:t>
      </w:r>
      <w:r w:rsidR="00243DB0">
        <w:rPr>
          <w:rFonts w:ascii="Gill Sans MT" w:hAnsi="Gill Sans MT" w:cs="Arial"/>
          <w:bCs/>
        </w:rPr>
        <w:t>,</w:t>
      </w:r>
      <w:r w:rsidRPr="00FE351D">
        <w:rPr>
          <w:rFonts w:ascii="Gill Sans MT" w:hAnsi="Gill Sans MT" w:cs="Arial"/>
          <w:bCs/>
        </w:rPr>
        <w:t xml:space="preserve"> afetando</w:t>
      </w:r>
      <w:r w:rsidR="00243DB0">
        <w:rPr>
          <w:rFonts w:ascii="Gill Sans MT" w:hAnsi="Gill Sans MT" w:cs="Arial"/>
          <w:bCs/>
        </w:rPr>
        <w:t xml:space="preserve"> assim</w:t>
      </w:r>
      <w:r w:rsidRPr="00FE351D">
        <w:rPr>
          <w:rFonts w:ascii="Gill Sans MT" w:hAnsi="Gill Sans MT" w:cs="Arial"/>
          <w:bCs/>
        </w:rPr>
        <w:t xml:space="preserve"> a dinâmica da atividade económica</w:t>
      </w:r>
      <w:r w:rsidR="006D630C" w:rsidRPr="008465D4">
        <w:rPr>
          <w:rFonts w:ascii="Gill Sans MT" w:hAnsi="Gill Sans MT" w:cs="Arial"/>
          <w:bCs/>
        </w:rPr>
        <w:t xml:space="preserve">. </w:t>
      </w:r>
      <w:r w:rsidRPr="00FE351D">
        <w:rPr>
          <w:rFonts w:ascii="Gill Sans MT" w:hAnsi="Gill Sans MT" w:cs="Arial"/>
          <w:bCs/>
        </w:rPr>
        <w:t xml:space="preserve">O setor terciário </w:t>
      </w:r>
      <w:r>
        <w:rPr>
          <w:rFonts w:ascii="Gill Sans MT" w:hAnsi="Gill Sans MT" w:cs="Arial"/>
          <w:bCs/>
        </w:rPr>
        <w:t xml:space="preserve">foi o </w:t>
      </w:r>
      <w:r w:rsidRPr="00FE351D">
        <w:rPr>
          <w:rFonts w:ascii="Gill Sans MT" w:hAnsi="Gill Sans MT" w:cs="Arial"/>
          <w:bCs/>
        </w:rPr>
        <w:t xml:space="preserve">mais afetado pela crise </w:t>
      </w:r>
      <w:r w:rsidR="00243DB0">
        <w:rPr>
          <w:rFonts w:ascii="Gill Sans MT" w:hAnsi="Gill Sans MT" w:cs="Arial"/>
          <w:bCs/>
        </w:rPr>
        <w:t>pandémica</w:t>
      </w:r>
      <w:r>
        <w:rPr>
          <w:rFonts w:ascii="Gill Sans MT" w:hAnsi="Gill Sans MT" w:cs="Arial"/>
          <w:bCs/>
        </w:rPr>
        <w:t>, contraindo</w:t>
      </w:r>
      <w:r w:rsidRPr="00FE351D">
        <w:rPr>
          <w:rFonts w:ascii="Gill Sans MT" w:hAnsi="Gill Sans MT" w:cs="Arial"/>
          <w:bCs/>
        </w:rPr>
        <w:t xml:space="preserve"> 17,0% (contributo de -10,3 p.p., para o crescimento) no período, por conta das performances negativas dos ramos do alojamento e restauração (-96,1%), dos transportes (-40,8%), dos serviços às empresas (-29,6%), do comércio (-25,5%) e da imobiliária e outros serviços (-14,1</w:t>
      </w:r>
      <w:r w:rsidR="00E57859">
        <w:rPr>
          <w:rFonts w:ascii="Gill Sans MT" w:hAnsi="Gill Sans MT" w:cs="Arial"/>
          <w:bCs/>
        </w:rPr>
        <w:t>)</w:t>
      </w:r>
      <w:r w:rsidRPr="00FE351D">
        <w:rPr>
          <w:rFonts w:ascii="Gill Sans MT" w:hAnsi="Gill Sans MT" w:cs="Arial"/>
          <w:bCs/>
        </w:rPr>
        <w:t xml:space="preserve">. O ramo de administração pública cresceu 14,7% no período, mas não foi suficiente para assegurar a </w:t>
      </w:r>
      <w:r w:rsidR="00243DB0">
        <w:rPr>
          <w:rFonts w:ascii="Gill Sans MT" w:hAnsi="Gill Sans MT" w:cs="Arial"/>
          <w:bCs/>
        </w:rPr>
        <w:t>perda</w:t>
      </w:r>
      <w:r w:rsidR="00243DB0" w:rsidRPr="00FE351D">
        <w:rPr>
          <w:rFonts w:ascii="Gill Sans MT" w:hAnsi="Gill Sans MT" w:cs="Arial"/>
          <w:bCs/>
        </w:rPr>
        <w:t xml:space="preserve"> </w:t>
      </w:r>
      <w:r w:rsidRPr="00FE351D">
        <w:rPr>
          <w:rFonts w:ascii="Gill Sans MT" w:hAnsi="Gill Sans MT" w:cs="Arial"/>
          <w:bCs/>
        </w:rPr>
        <w:t xml:space="preserve">dos demais </w:t>
      </w:r>
      <w:r w:rsidR="00243DB0">
        <w:rPr>
          <w:rFonts w:ascii="Gill Sans MT" w:hAnsi="Gill Sans MT" w:cs="Arial"/>
          <w:bCs/>
        </w:rPr>
        <w:t>ramos</w:t>
      </w:r>
      <w:r w:rsidRPr="00FE351D">
        <w:rPr>
          <w:rFonts w:ascii="Gill Sans MT" w:hAnsi="Gill Sans MT" w:cs="Arial"/>
          <w:bCs/>
        </w:rPr>
        <w:t xml:space="preserve">. </w:t>
      </w:r>
    </w:p>
    <w:p w14:paraId="0670BA4E" w14:textId="7A1882FC" w:rsidR="006D630C" w:rsidRPr="00FE351D" w:rsidRDefault="00FE351D" w:rsidP="00FE351D">
      <w:pPr>
        <w:spacing w:before="240" w:after="5" w:line="360" w:lineRule="auto"/>
        <w:ind w:right="65"/>
        <w:jc w:val="both"/>
        <w:rPr>
          <w:rFonts w:ascii="Gill Sans MT" w:hAnsi="Gill Sans MT" w:cs="Arial"/>
          <w:bCs/>
        </w:rPr>
      </w:pPr>
      <w:r w:rsidRPr="00FE351D">
        <w:rPr>
          <w:rFonts w:ascii="Gill Sans MT" w:hAnsi="Gill Sans MT" w:cs="Arial"/>
          <w:bCs/>
        </w:rPr>
        <w:t xml:space="preserve">O setor secundário apresentou uma performance melhor quando verificado com os resultados do trimestre anterior, porém abaixo do trimestre homólogo em cerca de 0,2%, com contributo nulo para o crescimento. </w:t>
      </w:r>
      <w:r w:rsidR="00E57859">
        <w:rPr>
          <w:rFonts w:ascii="Gill Sans MT" w:hAnsi="Gill Sans MT" w:cs="Arial"/>
          <w:bCs/>
        </w:rPr>
        <w:t>Tal melhoria,</w:t>
      </w:r>
      <w:r w:rsidRPr="00FE351D">
        <w:rPr>
          <w:rFonts w:ascii="Gill Sans MT" w:hAnsi="Gill Sans MT" w:cs="Arial"/>
          <w:bCs/>
        </w:rPr>
        <w:t xml:space="preserve"> deve-se sobretudo a retoma do setor da construção, com crescimento de 13,2%, alinhado com a dinâmica verificada nos investimentos. Contudo, os demais subsetores que fazem parte do consumo intermédio do turismo, a indústria transformadora (-16,6%) e da água e eletricidade (-9,8%), tiveram desempenho negativo. </w:t>
      </w:r>
    </w:p>
    <w:p w14:paraId="339205C0" w14:textId="55D30298" w:rsidR="00FE351D" w:rsidRPr="00FE351D" w:rsidRDefault="00FE351D" w:rsidP="00FE351D">
      <w:pPr>
        <w:spacing w:before="240" w:after="5" w:line="360" w:lineRule="auto"/>
        <w:ind w:right="65"/>
        <w:jc w:val="both"/>
        <w:rPr>
          <w:rFonts w:ascii="Gill Sans MT" w:hAnsi="Gill Sans MT" w:cs="Arial"/>
          <w:bCs/>
        </w:rPr>
      </w:pPr>
      <w:r w:rsidRPr="00FE351D">
        <w:rPr>
          <w:rFonts w:ascii="Gill Sans MT" w:hAnsi="Gill Sans MT" w:cs="Arial"/>
          <w:bCs/>
        </w:rPr>
        <w:t xml:space="preserve">O setor primário </w:t>
      </w:r>
      <w:r w:rsidR="00116724" w:rsidRPr="00FE351D">
        <w:rPr>
          <w:rFonts w:ascii="Gill Sans MT" w:hAnsi="Gill Sans MT" w:cs="Arial"/>
          <w:bCs/>
        </w:rPr>
        <w:t>c</w:t>
      </w:r>
      <w:r w:rsidR="00116724">
        <w:rPr>
          <w:rFonts w:ascii="Gill Sans MT" w:hAnsi="Gill Sans MT" w:cs="Arial"/>
          <w:bCs/>
        </w:rPr>
        <w:t>aiu</w:t>
      </w:r>
      <w:r w:rsidR="00116724" w:rsidRPr="00FE351D">
        <w:rPr>
          <w:rFonts w:ascii="Gill Sans MT" w:hAnsi="Gill Sans MT" w:cs="Arial"/>
          <w:bCs/>
        </w:rPr>
        <w:t xml:space="preserve"> </w:t>
      </w:r>
      <w:r w:rsidRPr="00FE351D">
        <w:rPr>
          <w:rFonts w:ascii="Gill Sans MT" w:hAnsi="Gill Sans MT" w:cs="Arial"/>
          <w:bCs/>
        </w:rPr>
        <w:t>11,7% (contributo de -0,6 p.p., para o crescimento), devido a queda registada na agricultura (-18,6%), apesar do aumento da produção nos ramos da pesca (+19,4%) e da Indústria extrativa (+11,3%), este último estimulado pelo ramo da construção. Os Impostos Líquidos de Subsídios caíram 31,3% (contributo de -4,4 p.p.) no período, reflexo da contração da atividade</w:t>
      </w:r>
      <w:r w:rsidR="00E57859">
        <w:rPr>
          <w:rFonts w:ascii="Gill Sans MT" w:hAnsi="Gill Sans MT" w:cs="Arial"/>
          <w:bCs/>
        </w:rPr>
        <w:t>, impactando no desempenho das finanças públicas</w:t>
      </w:r>
      <w:r w:rsidRPr="00FE351D">
        <w:rPr>
          <w:rFonts w:ascii="Gill Sans MT" w:hAnsi="Gill Sans MT" w:cs="Arial"/>
          <w:bCs/>
        </w:rPr>
        <w:t xml:space="preserve">. </w:t>
      </w:r>
    </w:p>
    <w:p w14:paraId="4CF1F883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2205E217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2560225C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11874F1D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5F17D6B5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44537C5E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7821FC98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39C65066" w14:textId="77777777" w:rsidR="00C36DF1" w:rsidRDefault="00C36DF1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4C7F4D08" w14:textId="02CE274C" w:rsidR="00CF0F0D" w:rsidRDefault="00CF0F0D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 xml:space="preserve">Gráfico </w:t>
      </w:r>
      <w:r w:rsidR="007D68E6">
        <w:rPr>
          <w:rFonts w:ascii="Gill Sans MT" w:eastAsia="Calibri" w:hAnsi="Gill Sans MT" w:cs="Times New Roman"/>
          <w:b/>
          <w:bCs/>
        </w:rPr>
        <w:t>5</w:t>
      </w:r>
      <w:r>
        <w:rPr>
          <w:rFonts w:ascii="Gill Sans MT" w:eastAsia="Calibri" w:hAnsi="Gill Sans MT" w:cs="Times New Roman"/>
          <w:b/>
          <w:bCs/>
        </w:rPr>
        <w:t xml:space="preserve">: PIB Real </w:t>
      </w:r>
      <w:r w:rsidR="00412FCD">
        <w:rPr>
          <w:rFonts w:ascii="Gill Sans MT" w:eastAsia="Calibri" w:hAnsi="Gill Sans MT" w:cs="Times New Roman"/>
          <w:b/>
          <w:bCs/>
        </w:rPr>
        <w:t>na Ótica da O</w:t>
      </w:r>
      <w:r>
        <w:rPr>
          <w:rFonts w:ascii="Gill Sans MT" w:eastAsia="Calibri" w:hAnsi="Gill Sans MT" w:cs="Times New Roman"/>
          <w:b/>
          <w:bCs/>
        </w:rPr>
        <w:t xml:space="preserve">ferta </w:t>
      </w:r>
    </w:p>
    <w:p w14:paraId="4ABB0D3D" w14:textId="64593252" w:rsidR="00CF0F0D" w:rsidRDefault="00BC6A09" w:rsidP="00CF0F0D">
      <w:pPr>
        <w:spacing w:after="0" w:line="240" w:lineRule="auto"/>
        <w:jc w:val="center"/>
        <w:rPr>
          <w:rFonts w:ascii="Gill Sans MT" w:hAnsi="Gill Sans MT" w:cs="Arial"/>
          <w:bCs/>
        </w:rPr>
      </w:pPr>
      <w:r w:rsidRPr="00BC6A09">
        <w:rPr>
          <w:noProof/>
          <w:lang w:eastAsia="pt-PT"/>
        </w:rPr>
        <w:drawing>
          <wp:inline distT="0" distB="0" distL="0" distR="0" wp14:anchorId="3E62D62E" wp14:editId="627EA0CA">
            <wp:extent cx="4095482" cy="1696731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21" cy="17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B521" w14:textId="12A10670" w:rsidR="00CF0F0D" w:rsidRDefault="00CF0F0D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18"/>
          <w:szCs w:val="18"/>
        </w:rPr>
      </w:pPr>
      <w:r>
        <w:rPr>
          <w:rFonts w:ascii="Gill Sans MT" w:eastAsia="Calibri" w:hAnsi="Gill Sans MT" w:cs="Times New Roman"/>
          <w:b/>
          <w:sz w:val="18"/>
          <w:szCs w:val="18"/>
        </w:rPr>
        <w:t xml:space="preserve">Fonte: </w:t>
      </w:r>
      <w:r>
        <w:rPr>
          <w:rFonts w:ascii="Gill Sans MT" w:eastAsia="Calibri" w:hAnsi="Gill Sans MT" w:cs="Times New Roman"/>
          <w:sz w:val="18"/>
          <w:szCs w:val="18"/>
        </w:rPr>
        <w:t>I</w:t>
      </w:r>
      <w:r w:rsidR="008B3444">
        <w:rPr>
          <w:rFonts w:ascii="Gill Sans MT" w:eastAsia="Calibri" w:hAnsi="Gill Sans MT" w:cs="Times New Roman"/>
          <w:sz w:val="18"/>
          <w:szCs w:val="18"/>
        </w:rPr>
        <w:t xml:space="preserve">nstituto </w:t>
      </w:r>
      <w:r>
        <w:rPr>
          <w:rFonts w:ascii="Gill Sans MT" w:eastAsia="Calibri" w:hAnsi="Gill Sans MT" w:cs="Times New Roman"/>
          <w:sz w:val="18"/>
          <w:szCs w:val="18"/>
        </w:rPr>
        <w:t>N</w:t>
      </w:r>
      <w:r w:rsidR="008B3444">
        <w:rPr>
          <w:rFonts w:ascii="Gill Sans MT" w:eastAsia="Calibri" w:hAnsi="Gill Sans MT" w:cs="Times New Roman"/>
          <w:sz w:val="18"/>
          <w:szCs w:val="18"/>
        </w:rPr>
        <w:t xml:space="preserve">acional de </w:t>
      </w:r>
      <w:r>
        <w:rPr>
          <w:rFonts w:ascii="Gill Sans MT" w:eastAsia="Calibri" w:hAnsi="Gill Sans MT" w:cs="Times New Roman"/>
          <w:sz w:val="18"/>
          <w:szCs w:val="18"/>
        </w:rPr>
        <w:t>E</w:t>
      </w:r>
      <w:r w:rsidR="008B3444">
        <w:rPr>
          <w:rFonts w:ascii="Gill Sans MT" w:eastAsia="Calibri" w:hAnsi="Gill Sans MT" w:cs="Times New Roman"/>
          <w:sz w:val="18"/>
          <w:szCs w:val="18"/>
        </w:rPr>
        <w:t>statísticas</w:t>
      </w:r>
      <w:r>
        <w:rPr>
          <w:rFonts w:ascii="Gill Sans MT" w:eastAsia="Calibri" w:hAnsi="Gill Sans MT" w:cs="Times New Roman"/>
          <w:sz w:val="18"/>
          <w:szCs w:val="18"/>
        </w:rPr>
        <w:t>.</w:t>
      </w:r>
    </w:p>
    <w:p w14:paraId="2DEC6FE8" w14:textId="77777777" w:rsidR="00CF0F0D" w:rsidRDefault="00CF0F0D" w:rsidP="00CF0F0D">
      <w:pPr>
        <w:spacing w:line="360" w:lineRule="auto"/>
        <w:jc w:val="both"/>
        <w:rPr>
          <w:rFonts w:ascii="Gill Sans MT" w:hAnsi="Gill Sans MT" w:cs="Arial"/>
          <w:bCs/>
        </w:rPr>
      </w:pPr>
    </w:p>
    <w:p w14:paraId="4FFEFA6E" w14:textId="7FFA952E" w:rsidR="004F1D02" w:rsidRPr="008A6516" w:rsidRDefault="007119FA" w:rsidP="007119FA">
      <w:pPr>
        <w:spacing w:before="240" w:after="5" w:line="360" w:lineRule="auto"/>
        <w:ind w:right="65"/>
        <w:jc w:val="both"/>
        <w:rPr>
          <w:rFonts w:ascii="Gill Sans MT" w:hAnsi="Gill Sans MT" w:cs="Arial"/>
          <w:bCs/>
        </w:rPr>
      </w:pPr>
      <w:r w:rsidRPr="007119FA">
        <w:rPr>
          <w:rFonts w:ascii="Gill Sans MT" w:hAnsi="Gill Sans MT" w:cs="Arial"/>
          <w:bCs/>
        </w:rPr>
        <w:t xml:space="preserve">Do lado da </w:t>
      </w:r>
      <w:r>
        <w:rPr>
          <w:rFonts w:ascii="Gill Sans MT" w:hAnsi="Gill Sans MT" w:cs="Arial"/>
          <w:bCs/>
        </w:rPr>
        <w:t>demanda, essa</w:t>
      </w:r>
      <w:r w:rsidRPr="007119FA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performance negativa</w:t>
      </w:r>
      <w:r w:rsidRPr="007119FA">
        <w:rPr>
          <w:rFonts w:ascii="Gill Sans MT" w:hAnsi="Gill Sans MT" w:cs="Arial"/>
          <w:bCs/>
        </w:rPr>
        <w:t xml:space="preserve"> da atividade</w:t>
      </w:r>
      <w:r>
        <w:rPr>
          <w:rFonts w:ascii="Gill Sans MT" w:hAnsi="Gill Sans MT" w:cs="Arial"/>
          <w:bCs/>
        </w:rPr>
        <w:t xml:space="preserve"> económica</w:t>
      </w:r>
      <w:r w:rsidRPr="007119FA">
        <w:rPr>
          <w:rFonts w:ascii="Gill Sans MT" w:hAnsi="Gill Sans MT" w:cs="Arial"/>
          <w:bCs/>
        </w:rPr>
        <w:t xml:space="preserve"> é proveniente </w:t>
      </w:r>
      <w:r>
        <w:rPr>
          <w:rFonts w:ascii="Gill Sans MT" w:hAnsi="Gill Sans MT" w:cs="Arial"/>
          <w:bCs/>
        </w:rPr>
        <w:t>do desempenho das</w:t>
      </w:r>
      <w:r w:rsidRPr="007119FA">
        <w:rPr>
          <w:rFonts w:ascii="Gill Sans MT" w:hAnsi="Gill Sans MT" w:cs="Arial"/>
          <w:bCs/>
        </w:rPr>
        <w:t xml:space="preserve"> exportações e das despesas de consumo privado. As exportações caíram 77,6% face ao período homólogo (contributo de -51,5 p.p., para o crescimento), </w:t>
      </w:r>
      <w:r w:rsidR="00BE2CC5">
        <w:rPr>
          <w:rFonts w:ascii="Gill Sans MT" w:hAnsi="Gill Sans MT" w:cs="Arial"/>
          <w:bCs/>
        </w:rPr>
        <w:t>derivado das</w:t>
      </w:r>
      <w:r w:rsidRPr="007119FA">
        <w:rPr>
          <w:rFonts w:ascii="Gill Sans MT" w:hAnsi="Gill Sans MT" w:cs="Arial"/>
          <w:bCs/>
        </w:rPr>
        <w:t xml:space="preserve"> fortes reduções das exportações de bens e serviços, nomeadamente das viagens de turismo (-96,1%), dos serviços de transporte aéreo (-94,1%) e dos produtos do mar (-36,4%). O consumo privado caiu 9,7% (contributo de -69,0 p.p., para o crescimento), apesar dos programas implementados pelo Governo, visando mitigar os efeitos socioeconómicos da pandemia. O destaque </w:t>
      </w:r>
      <w:r w:rsidR="00E57859">
        <w:rPr>
          <w:rFonts w:ascii="Gill Sans MT" w:hAnsi="Gill Sans MT" w:cs="Arial"/>
          <w:bCs/>
        </w:rPr>
        <w:t xml:space="preserve">positivo </w:t>
      </w:r>
      <w:r w:rsidRPr="007119FA">
        <w:rPr>
          <w:rFonts w:ascii="Gill Sans MT" w:hAnsi="Gill Sans MT" w:cs="Arial"/>
          <w:bCs/>
        </w:rPr>
        <w:t xml:space="preserve">vai para os investimentos que cresceram 9,4% no período, refletindo a continuação da implementação dos projetos antes da pandemia. </w:t>
      </w:r>
    </w:p>
    <w:p w14:paraId="54C30AF5" w14:textId="4A781966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Cs/>
        </w:rPr>
      </w:pPr>
      <w:r>
        <w:rPr>
          <w:rFonts w:ascii="Gill Sans MT" w:hAnsi="Gill Sans MT" w:cs="Arial"/>
          <w:b/>
          <w:bCs/>
        </w:rPr>
        <w:t xml:space="preserve">Gráfico </w:t>
      </w:r>
      <w:r w:rsidR="007D68E6">
        <w:rPr>
          <w:rFonts w:ascii="Gill Sans MT" w:hAnsi="Gill Sans MT" w:cs="Arial"/>
          <w:b/>
          <w:bCs/>
        </w:rPr>
        <w:t>6</w:t>
      </w:r>
      <w:r>
        <w:rPr>
          <w:rFonts w:ascii="Gill Sans MT" w:hAnsi="Gill Sans MT" w:cs="Arial"/>
          <w:b/>
          <w:bCs/>
        </w:rPr>
        <w:t>:</w:t>
      </w:r>
      <w:r>
        <w:rPr>
          <w:rFonts w:ascii="Gill Sans MT" w:hAnsi="Gill Sans MT" w:cs="Arial"/>
          <w:bCs/>
        </w:rPr>
        <w:t xml:space="preserve"> </w:t>
      </w:r>
      <w:r w:rsidR="00412FCD">
        <w:rPr>
          <w:rFonts w:ascii="Gill Sans MT" w:hAnsi="Gill Sans MT" w:cs="Arial"/>
          <w:b/>
          <w:bCs/>
        </w:rPr>
        <w:t>PIB Real na Ótica da D</w:t>
      </w:r>
      <w:r>
        <w:rPr>
          <w:rFonts w:ascii="Gill Sans MT" w:hAnsi="Gill Sans MT" w:cs="Arial"/>
          <w:b/>
          <w:bCs/>
        </w:rPr>
        <w:t>emanda</w:t>
      </w:r>
      <w:r>
        <w:rPr>
          <w:rFonts w:ascii="Gill Sans MT" w:hAnsi="Gill Sans MT"/>
        </w:rPr>
        <w:t xml:space="preserve"> </w:t>
      </w:r>
    </w:p>
    <w:p w14:paraId="59884666" w14:textId="2BB65763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</w:t>
      </w:r>
      <w:r w:rsidR="0077647D" w:rsidRPr="0077647D">
        <w:rPr>
          <w:noProof/>
          <w:lang w:eastAsia="pt-PT"/>
        </w:rPr>
        <w:drawing>
          <wp:inline distT="0" distB="0" distL="0" distR="0" wp14:anchorId="644A9A1F" wp14:editId="5B1E26EA">
            <wp:extent cx="4089043" cy="1901675"/>
            <wp:effectExtent l="0" t="0" r="698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2" cy="19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9863" w14:textId="4F4F47F6" w:rsidR="00CF0F0D" w:rsidRDefault="00CF0F0D" w:rsidP="00CF0F0D">
      <w:pP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18"/>
        </w:rPr>
      </w:pPr>
      <w:r>
        <w:rPr>
          <w:rFonts w:ascii="Gill Sans MT" w:eastAsia="Calibri" w:hAnsi="Gill Sans MT" w:cs="Times New Roman"/>
          <w:b/>
          <w:sz w:val="18"/>
          <w:szCs w:val="18"/>
        </w:rPr>
        <w:t xml:space="preserve">Fonte: </w:t>
      </w:r>
      <w:r w:rsidR="00591C7D">
        <w:rPr>
          <w:rFonts w:ascii="Gill Sans MT" w:eastAsia="Calibri" w:hAnsi="Gill Sans MT" w:cs="Times New Roman"/>
          <w:sz w:val="18"/>
          <w:szCs w:val="18"/>
        </w:rPr>
        <w:t>Instituto Nacional de Estatísticas.</w:t>
      </w:r>
    </w:p>
    <w:p w14:paraId="2F889550" w14:textId="77777777" w:rsidR="00721F38" w:rsidRDefault="00721F38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18"/>
          <w:szCs w:val="18"/>
        </w:rPr>
      </w:pPr>
    </w:p>
    <w:p w14:paraId="443FE5EE" w14:textId="77777777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Cs/>
        </w:rPr>
      </w:pPr>
    </w:p>
    <w:p w14:paraId="24FABD11" w14:textId="43B887E6" w:rsidR="008F76E5" w:rsidRPr="00852D18" w:rsidRDefault="008A36C5" w:rsidP="008F76E5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  <w:r>
        <w:rPr>
          <w:rFonts w:ascii="Gill Sans MT" w:hAnsi="Gill Sans MT" w:cs="Arial"/>
          <w:bCs/>
        </w:rPr>
        <w:t xml:space="preserve">O impacto da crise pandêmica se fez sentir </w:t>
      </w:r>
      <w:r w:rsidR="00E57859">
        <w:rPr>
          <w:rFonts w:ascii="Gill Sans MT" w:hAnsi="Gill Sans MT" w:cs="Arial"/>
          <w:bCs/>
        </w:rPr>
        <w:t xml:space="preserve">com grande magnitude ainda no IV </w:t>
      </w:r>
      <w:r w:rsidR="0036719D">
        <w:rPr>
          <w:rFonts w:ascii="Gill Sans MT" w:hAnsi="Gill Sans MT" w:cs="Arial"/>
          <w:bCs/>
        </w:rPr>
        <w:t>T</w:t>
      </w:r>
      <w:r w:rsidR="00E57859">
        <w:rPr>
          <w:rFonts w:ascii="Gill Sans MT" w:hAnsi="Gill Sans MT" w:cs="Arial"/>
          <w:bCs/>
        </w:rPr>
        <w:t xml:space="preserve">rimestre. Não se verificou a retoma do turismo durante o período, dado que, </w:t>
      </w:r>
      <w:r w:rsidR="00E00872">
        <w:rPr>
          <w:rFonts w:ascii="Gill Sans MT" w:hAnsi="Gill Sans MT" w:cs="Arial"/>
          <w:bCs/>
        </w:rPr>
        <w:t>movimentaram-se nos aeroportos de Cabo Verde cerca</w:t>
      </w:r>
      <w:r w:rsidR="0023548E">
        <w:rPr>
          <w:rFonts w:ascii="Gill Sans MT" w:hAnsi="Gill Sans MT" w:cs="Arial"/>
          <w:bCs/>
        </w:rPr>
        <w:t xml:space="preserve"> </w:t>
      </w:r>
      <w:r w:rsidR="00B25B19">
        <w:rPr>
          <w:rFonts w:ascii="Gill Sans MT" w:hAnsi="Gill Sans MT" w:cs="Arial"/>
          <w:bCs/>
        </w:rPr>
        <w:t>83</w:t>
      </w:r>
      <w:r w:rsidR="0023548E">
        <w:rPr>
          <w:rFonts w:ascii="Gill Sans MT" w:hAnsi="Gill Sans MT" w:cs="Arial"/>
          <w:bCs/>
        </w:rPr>
        <w:t xml:space="preserve"> mil passageiros</w:t>
      </w:r>
      <w:r w:rsidR="00FC67E5" w:rsidRPr="00662229">
        <w:rPr>
          <w:rFonts w:ascii="Gill Sans MT" w:hAnsi="Gill Sans MT" w:cs="Arial"/>
          <w:bCs/>
        </w:rPr>
        <w:t>, representando um</w:t>
      </w:r>
      <w:r w:rsidR="00E373C1" w:rsidRPr="00662229">
        <w:rPr>
          <w:rFonts w:ascii="Gill Sans MT" w:hAnsi="Gill Sans MT" w:cs="Arial"/>
          <w:bCs/>
        </w:rPr>
        <w:t>a</w:t>
      </w:r>
      <w:r w:rsidR="00FC67E5" w:rsidRPr="00662229">
        <w:rPr>
          <w:rFonts w:ascii="Gill Sans MT" w:hAnsi="Gill Sans MT" w:cs="Arial"/>
          <w:bCs/>
        </w:rPr>
        <w:t xml:space="preserve"> </w:t>
      </w:r>
      <w:r w:rsidR="0041308E" w:rsidRPr="00662229">
        <w:rPr>
          <w:rFonts w:ascii="Gill Sans MT" w:hAnsi="Gill Sans MT" w:cs="Arial"/>
          <w:bCs/>
        </w:rPr>
        <w:t>redução</w:t>
      </w:r>
      <w:r w:rsidR="00FC67E5" w:rsidRPr="00662229">
        <w:rPr>
          <w:rFonts w:ascii="Gill Sans MT" w:hAnsi="Gill Sans MT" w:cs="Arial"/>
          <w:bCs/>
        </w:rPr>
        <w:t xml:space="preserve"> de </w:t>
      </w:r>
      <w:r w:rsidR="00B25B19">
        <w:rPr>
          <w:rFonts w:ascii="Gill Sans MT" w:hAnsi="Gill Sans MT" w:cs="Arial"/>
          <w:bCs/>
        </w:rPr>
        <w:t>88</w:t>
      </w:r>
      <w:r w:rsidR="00FC67E5" w:rsidRPr="00662229">
        <w:rPr>
          <w:rFonts w:ascii="Gill Sans MT" w:hAnsi="Gill Sans MT" w:cs="Arial"/>
          <w:bCs/>
        </w:rPr>
        <w:t>,</w:t>
      </w:r>
      <w:r w:rsidR="00B25B19">
        <w:rPr>
          <w:rFonts w:ascii="Gill Sans MT" w:hAnsi="Gill Sans MT" w:cs="Arial"/>
          <w:bCs/>
        </w:rPr>
        <w:t>3</w:t>
      </w:r>
      <w:r w:rsidR="00FC67E5" w:rsidRPr="00662229">
        <w:rPr>
          <w:rFonts w:ascii="Gill Sans MT" w:hAnsi="Gill Sans MT" w:cs="Arial"/>
          <w:bCs/>
        </w:rPr>
        <w:t xml:space="preserve">%, </w:t>
      </w:r>
      <w:r w:rsidR="00D54FED" w:rsidRPr="00662229">
        <w:rPr>
          <w:rFonts w:ascii="Gill Sans MT" w:hAnsi="Gill Sans MT" w:cs="Arial"/>
          <w:bCs/>
        </w:rPr>
        <w:t>face</w:t>
      </w:r>
      <w:r w:rsidR="00FC67E5" w:rsidRPr="00662229">
        <w:rPr>
          <w:rFonts w:ascii="Gill Sans MT" w:hAnsi="Gill Sans MT" w:cs="Arial"/>
          <w:bCs/>
        </w:rPr>
        <w:t xml:space="preserve"> ao período homólogo em 201</w:t>
      </w:r>
      <w:r w:rsidR="004772A9" w:rsidRPr="00662229">
        <w:rPr>
          <w:rFonts w:ascii="Gill Sans MT" w:hAnsi="Gill Sans MT" w:cs="Arial"/>
          <w:bCs/>
        </w:rPr>
        <w:t>9</w:t>
      </w:r>
      <w:r w:rsidR="00517171" w:rsidRPr="00517171">
        <w:rPr>
          <w:rFonts w:ascii="Gill Sans MT" w:hAnsi="Gill Sans MT" w:cs="Arial"/>
          <w:bCs/>
        </w:rPr>
        <w:t>.</w:t>
      </w:r>
    </w:p>
    <w:p w14:paraId="2F2F2D6A" w14:textId="77777777" w:rsidR="00C36DF1" w:rsidRDefault="00C36DF1" w:rsidP="008F76E5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49CA409A" w14:textId="77777777" w:rsidR="00C36DF1" w:rsidRDefault="00C36DF1" w:rsidP="008F76E5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4233ED5F" w14:textId="378A256B" w:rsidR="008F76E5" w:rsidRDefault="008F76E5" w:rsidP="008F76E5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 xml:space="preserve">Tabela </w:t>
      </w:r>
      <w:r w:rsidR="007D68E6">
        <w:rPr>
          <w:rFonts w:ascii="Gill Sans MT" w:eastAsia="Calibri" w:hAnsi="Gill Sans MT" w:cs="Times New Roman"/>
          <w:b/>
          <w:bCs/>
        </w:rPr>
        <w:t>2</w:t>
      </w:r>
      <w:r>
        <w:rPr>
          <w:rFonts w:ascii="Gill Sans MT" w:eastAsia="Calibri" w:hAnsi="Gill Sans MT" w:cs="Times New Roman"/>
          <w:b/>
          <w:bCs/>
        </w:rPr>
        <w:t xml:space="preserve"> – Movimentação de Passageiros</w:t>
      </w:r>
    </w:p>
    <w:p w14:paraId="5D263831" w14:textId="4CC1D5ED" w:rsidR="008F76E5" w:rsidRDefault="00B25B19" w:rsidP="008F76E5">
      <w:pPr>
        <w:spacing w:after="0" w:line="240" w:lineRule="auto"/>
        <w:jc w:val="center"/>
        <w:rPr>
          <w:rFonts w:ascii="Gill Sans MT" w:hAnsi="Gill Sans MT" w:cs="Arial"/>
          <w:bCs/>
          <w:sz w:val="24"/>
          <w:szCs w:val="24"/>
        </w:rPr>
      </w:pPr>
      <w:r w:rsidRPr="00B25B19">
        <w:rPr>
          <w:noProof/>
          <w:lang w:eastAsia="pt-PT"/>
        </w:rPr>
        <w:drawing>
          <wp:inline distT="0" distB="0" distL="0" distR="0" wp14:anchorId="7589D604" wp14:editId="6A6200B3">
            <wp:extent cx="3916680" cy="1153160"/>
            <wp:effectExtent l="0" t="0" r="762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921C" w14:textId="39D45A80" w:rsidR="008F76E5" w:rsidRDefault="008F76E5" w:rsidP="008F76E5">
      <w:pPr>
        <w:spacing w:after="0" w:line="240" w:lineRule="auto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="008B7D27">
        <w:rPr>
          <w:rFonts w:ascii="Gill Sans MT" w:hAnsi="Gill Sans MT" w:cs="Arial"/>
          <w:bCs/>
        </w:rPr>
        <w:t>Agência de Aviação Civil</w:t>
      </w:r>
      <w:r>
        <w:rPr>
          <w:rFonts w:ascii="Gill Sans MT" w:hAnsi="Gill Sans MT" w:cs="Arial"/>
          <w:bCs/>
          <w:sz w:val="18"/>
          <w:szCs w:val="18"/>
        </w:rPr>
        <w:t>.</w:t>
      </w:r>
    </w:p>
    <w:p w14:paraId="41457049" w14:textId="099FC163" w:rsidR="008F76E5" w:rsidRPr="003A60C5" w:rsidRDefault="008F76E5" w:rsidP="008F76E5">
      <w:pPr>
        <w:spacing w:line="360" w:lineRule="auto"/>
        <w:jc w:val="both"/>
        <w:rPr>
          <w:rFonts w:ascii="Gill Sans MT" w:hAnsi="Gill Sans MT" w:cs="Times New Roman"/>
          <w:bCs/>
        </w:rPr>
      </w:pPr>
    </w:p>
    <w:p w14:paraId="50CAA0D2" w14:textId="062AD782" w:rsidR="007C3CE1" w:rsidRPr="00517171" w:rsidRDefault="00517171" w:rsidP="008F76E5">
      <w:pPr>
        <w:spacing w:line="360" w:lineRule="auto"/>
        <w:jc w:val="both"/>
        <w:rPr>
          <w:rFonts w:ascii="Gill Sans MT" w:hAnsi="Gill Sans MT" w:cs="Arial"/>
          <w:bCs/>
        </w:rPr>
      </w:pPr>
      <w:r w:rsidRPr="00517171">
        <w:rPr>
          <w:rFonts w:ascii="Gill Sans MT" w:hAnsi="Gill Sans MT" w:cs="Times New Roman"/>
          <w:bCs/>
        </w:rPr>
        <w:t xml:space="preserve">O </w:t>
      </w:r>
      <w:r w:rsidR="007C3CE1" w:rsidRPr="00517171">
        <w:rPr>
          <w:rFonts w:ascii="Gill Sans MT" w:hAnsi="Gill Sans MT" w:cs="Times New Roman"/>
          <w:bCs/>
        </w:rPr>
        <w:t>transporte doméstico</w:t>
      </w:r>
      <w:r w:rsidR="00832F0C" w:rsidRPr="00517171">
        <w:rPr>
          <w:rFonts w:ascii="Gill Sans MT" w:hAnsi="Gill Sans MT" w:cs="Times New Roman"/>
          <w:bCs/>
        </w:rPr>
        <w:t xml:space="preserve"> de passageiros caiu</w:t>
      </w:r>
      <w:r w:rsidR="007C3CE1" w:rsidRPr="00517171">
        <w:rPr>
          <w:rFonts w:ascii="Gill Sans MT" w:hAnsi="Gill Sans MT" w:cs="Times New Roman"/>
          <w:bCs/>
        </w:rPr>
        <w:t xml:space="preserve"> </w:t>
      </w:r>
      <w:r w:rsidR="00B25B19">
        <w:rPr>
          <w:rFonts w:ascii="Gill Sans MT" w:hAnsi="Gill Sans MT" w:cs="Times New Roman"/>
          <w:bCs/>
        </w:rPr>
        <w:t>75</w:t>
      </w:r>
      <w:r w:rsidR="007C3CE1" w:rsidRPr="00517171">
        <w:rPr>
          <w:rFonts w:ascii="Gill Sans MT" w:hAnsi="Gill Sans MT" w:cs="Times New Roman"/>
          <w:bCs/>
        </w:rPr>
        <w:t>,</w:t>
      </w:r>
      <w:r w:rsidR="00B25B19">
        <w:rPr>
          <w:rFonts w:ascii="Gill Sans MT" w:hAnsi="Gill Sans MT" w:cs="Times New Roman"/>
          <w:bCs/>
        </w:rPr>
        <w:t>5</w:t>
      </w:r>
      <w:r w:rsidR="00832F0C" w:rsidRPr="00517171">
        <w:rPr>
          <w:rFonts w:ascii="Gill Sans MT" w:hAnsi="Gill Sans MT" w:cs="Times New Roman"/>
          <w:bCs/>
        </w:rPr>
        <w:t>% (</w:t>
      </w:r>
      <w:r w:rsidR="00B25B19">
        <w:rPr>
          <w:rFonts w:ascii="Gill Sans MT" w:hAnsi="Gill Sans MT" w:cs="Times New Roman"/>
          <w:bCs/>
        </w:rPr>
        <w:t>48</w:t>
      </w:r>
      <w:r w:rsidR="00832F0C" w:rsidRPr="00517171">
        <w:rPr>
          <w:rFonts w:ascii="Gill Sans MT" w:hAnsi="Gill Sans MT" w:cs="Times New Roman"/>
          <w:bCs/>
        </w:rPr>
        <w:t>,</w:t>
      </w:r>
      <w:r w:rsidR="00B25B19">
        <w:rPr>
          <w:rFonts w:ascii="Gill Sans MT" w:hAnsi="Gill Sans MT" w:cs="Times New Roman"/>
          <w:bCs/>
        </w:rPr>
        <w:t>5</w:t>
      </w:r>
      <w:r w:rsidR="007C3CE1" w:rsidRPr="00517171">
        <w:rPr>
          <w:rFonts w:ascii="Gill Sans MT" w:hAnsi="Gill Sans MT" w:cs="Times New Roman"/>
          <w:bCs/>
        </w:rPr>
        <w:t xml:space="preserve"> mil</w:t>
      </w:r>
      <w:r w:rsidR="00C00228" w:rsidRPr="00517171">
        <w:rPr>
          <w:rFonts w:ascii="Gill Sans MT" w:hAnsi="Gill Sans MT" w:cs="Times New Roman"/>
          <w:bCs/>
        </w:rPr>
        <w:t xml:space="preserve"> passageiros</w:t>
      </w:r>
      <w:r w:rsidR="007C3CE1" w:rsidRPr="00517171">
        <w:rPr>
          <w:rFonts w:ascii="Gill Sans MT" w:hAnsi="Gill Sans MT" w:cs="Times New Roman"/>
          <w:bCs/>
        </w:rPr>
        <w:t xml:space="preserve"> ante </w:t>
      </w:r>
      <w:r w:rsidR="00B25B19">
        <w:rPr>
          <w:rFonts w:ascii="Gill Sans MT" w:hAnsi="Gill Sans MT" w:cs="Times New Roman"/>
          <w:bCs/>
        </w:rPr>
        <w:t>197</w:t>
      </w:r>
      <w:r w:rsidR="007C3CE1" w:rsidRPr="00517171">
        <w:rPr>
          <w:rFonts w:ascii="Gill Sans MT" w:hAnsi="Gill Sans MT" w:cs="Times New Roman"/>
          <w:bCs/>
        </w:rPr>
        <w:t>,</w:t>
      </w:r>
      <w:r w:rsidR="00B25B19">
        <w:rPr>
          <w:rFonts w:ascii="Gill Sans MT" w:hAnsi="Gill Sans MT" w:cs="Times New Roman"/>
          <w:bCs/>
        </w:rPr>
        <w:t>8</w:t>
      </w:r>
      <w:r w:rsidR="007C3CE1" w:rsidRPr="00517171">
        <w:rPr>
          <w:rFonts w:ascii="Gill Sans MT" w:hAnsi="Gill Sans MT" w:cs="Times New Roman"/>
          <w:bCs/>
        </w:rPr>
        <w:t xml:space="preserve"> mil </w:t>
      </w:r>
      <w:r w:rsidRPr="00517171">
        <w:rPr>
          <w:rFonts w:ascii="Gill Sans MT" w:hAnsi="Gill Sans MT" w:cs="Times New Roman"/>
          <w:bCs/>
        </w:rPr>
        <w:t>em</w:t>
      </w:r>
      <w:r w:rsidR="007C3CE1" w:rsidRPr="00517171">
        <w:rPr>
          <w:rFonts w:ascii="Gill Sans MT" w:hAnsi="Gill Sans MT" w:cs="Times New Roman"/>
          <w:bCs/>
        </w:rPr>
        <w:t xml:space="preserve"> 2019)</w:t>
      </w:r>
      <w:r w:rsidR="008A36C5">
        <w:rPr>
          <w:rFonts w:ascii="Gill Sans MT" w:hAnsi="Gill Sans MT" w:cs="Times New Roman"/>
          <w:bCs/>
        </w:rPr>
        <w:t xml:space="preserve">, apesar da </w:t>
      </w:r>
      <w:r w:rsidR="00EF6E9B">
        <w:rPr>
          <w:rFonts w:ascii="Gill Sans MT" w:hAnsi="Gill Sans MT" w:cs="Times New Roman"/>
          <w:bCs/>
        </w:rPr>
        <w:t xml:space="preserve">retoma </w:t>
      </w:r>
      <w:r w:rsidR="008A36C5">
        <w:rPr>
          <w:rFonts w:ascii="Gill Sans MT" w:hAnsi="Gill Sans MT" w:cs="Times New Roman"/>
          <w:bCs/>
        </w:rPr>
        <w:t>d</w:t>
      </w:r>
      <w:r w:rsidR="00EF6E9B">
        <w:rPr>
          <w:rFonts w:ascii="Gill Sans MT" w:hAnsi="Gill Sans MT" w:cs="Times New Roman"/>
          <w:bCs/>
        </w:rPr>
        <w:t>os</w:t>
      </w:r>
      <w:r w:rsidR="008A36C5">
        <w:rPr>
          <w:rFonts w:ascii="Gill Sans MT" w:hAnsi="Gill Sans MT" w:cs="Times New Roman"/>
          <w:bCs/>
        </w:rPr>
        <w:t xml:space="preserve"> voos internos a partir de julho</w:t>
      </w:r>
      <w:r w:rsidR="00EF6E9B">
        <w:rPr>
          <w:rFonts w:ascii="Gill Sans MT" w:hAnsi="Gill Sans MT" w:cs="Times New Roman"/>
          <w:bCs/>
        </w:rPr>
        <w:t>, após mais de 4 meses de paralisação devido a declaração do estado de emergência no país</w:t>
      </w:r>
      <w:r w:rsidR="00832F0C" w:rsidRPr="00517171">
        <w:rPr>
          <w:rFonts w:ascii="Gill Sans MT" w:hAnsi="Gill Sans MT" w:cs="Times New Roman"/>
          <w:bCs/>
        </w:rPr>
        <w:t xml:space="preserve">. O </w:t>
      </w:r>
      <w:r w:rsidR="007C3CE1" w:rsidRPr="00517171">
        <w:rPr>
          <w:rFonts w:ascii="Gill Sans MT" w:hAnsi="Gill Sans MT" w:cs="Times New Roman"/>
          <w:bCs/>
        </w:rPr>
        <w:t>tra</w:t>
      </w:r>
      <w:r w:rsidR="00832F0C" w:rsidRPr="00517171">
        <w:rPr>
          <w:rFonts w:ascii="Gill Sans MT" w:hAnsi="Gill Sans MT" w:cs="Times New Roman"/>
          <w:bCs/>
        </w:rPr>
        <w:t>nsporte internacional diminuiu</w:t>
      </w:r>
      <w:r w:rsidR="007C3CE1" w:rsidRPr="00517171">
        <w:rPr>
          <w:rFonts w:ascii="Gill Sans MT" w:hAnsi="Gill Sans MT" w:cs="Times New Roman"/>
          <w:bCs/>
        </w:rPr>
        <w:t xml:space="preserve"> </w:t>
      </w:r>
      <w:r w:rsidR="00B25B19">
        <w:rPr>
          <w:rFonts w:ascii="Gill Sans MT" w:hAnsi="Gill Sans MT" w:cs="Times New Roman"/>
          <w:bCs/>
        </w:rPr>
        <w:t>93</w:t>
      </w:r>
      <w:r w:rsidR="007C3CE1" w:rsidRPr="00517171">
        <w:rPr>
          <w:rFonts w:ascii="Gill Sans MT" w:hAnsi="Gill Sans MT" w:cs="Times New Roman"/>
          <w:bCs/>
        </w:rPr>
        <w:t>,</w:t>
      </w:r>
      <w:r w:rsidRPr="00517171">
        <w:rPr>
          <w:rFonts w:ascii="Gill Sans MT" w:hAnsi="Gill Sans MT" w:cs="Times New Roman"/>
          <w:bCs/>
        </w:rPr>
        <w:t>0</w:t>
      </w:r>
      <w:r w:rsidR="007C3CE1" w:rsidRPr="00517171">
        <w:rPr>
          <w:rFonts w:ascii="Gill Sans MT" w:hAnsi="Gill Sans MT" w:cs="Times New Roman"/>
          <w:bCs/>
        </w:rPr>
        <w:t>% (</w:t>
      </w:r>
      <w:r w:rsidR="00B25B19">
        <w:rPr>
          <w:rFonts w:ascii="Gill Sans MT" w:hAnsi="Gill Sans MT" w:cs="Times New Roman"/>
          <w:bCs/>
        </w:rPr>
        <w:t>34</w:t>
      </w:r>
      <w:r w:rsidR="007C3CE1" w:rsidRPr="00517171">
        <w:rPr>
          <w:rFonts w:ascii="Gill Sans MT" w:hAnsi="Gill Sans MT" w:cs="Times New Roman"/>
          <w:bCs/>
        </w:rPr>
        <w:t>,</w:t>
      </w:r>
      <w:r w:rsidR="00B25B19">
        <w:rPr>
          <w:rFonts w:ascii="Gill Sans MT" w:hAnsi="Gill Sans MT" w:cs="Times New Roman"/>
          <w:bCs/>
        </w:rPr>
        <w:t>4</w:t>
      </w:r>
      <w:r w:rsidR="007C3CE1" w:rsidRPr="00517171">
        <w:rPr>
          <w:rFonts w:ascii="Gill Sans MT" w:hAnsi="Gill Sans MT" w:cs="Times New Roman"/>
          <w:bCs/>
        </w:rPr>
        <w:t xml:space="preserve"> mil ante </w:t>
      </w:r>
      <w:r w:rsidR="00B25B19">
        <w:rPr>
          <w:rFonts w:ascii="Gill Sans MT" w:hAnsi="Gill Sans MT" w:cs="Times New Roman"/>
          <w:bCs/>
        </w:rPr>
        <w:t>509</w:t>
      </w:r>
      <w:r w:rsidRPr="00517171">
        <w:rPr>
          <w:rFonts w:ascii="Gill Sans MT" w:hAnsi="Gill Sans MT" w:cs="Times New Roman"/>
          <w:bCs/>
        </w:rPr>
        <w:t>,</w:t>
      </w:r>
      <w:r w:rsidR="00B25B19">
        <w:rPr>
          <w:rFonts w:ascii="Gill Sans MT" w:hAnsi="Gill Sans MT" w:cs="Times New Roman"/>
          <w:bCs/>
        </w:rPr>
        <w:t>9</w:t>
      </w:r>
      <w:r w:rsidR="007C3CE1" w:rsidRPr="00517171">
        <w:rPr>
          <w:rFonts w:ascii="Gill Sans MT" w:hAnsi="Gill Sans MT" w:cs="Times New Roman"/>
          <w:bCs/>
        </w:rPr>
        <w:t xml:space="preserve"> mil </w:t>
      </w:r>
      <w:r w:rsidRPr="00517171">
        <w:rPr>
          <w:rFonts w:ascii="Gill Sans MT" w:hAnsi="Gill Sans MT" w:cs="Times New Roman"/>
          <w:bCs/>
        </w:rPr>
        <w:t>em</w:t>
      </w:r>
      <w:r w:rsidR="007C3CE1" w:rsidRPr="00517171">
        <w:rPr>
          <w:rFonts w:ascii="Gill Sans MT" w:hAnsi="Gill Sans MT" w:cs="Times New Roman"/>
          <w:bCs/>
        </w:rPr>
        <w:t xml:space="preserve"> 2019)</w:t>
      </w:r>
      <w:r w:rsidR="00DE2676" w:rsidRPr="00517171">
        <w:rPr>
          <w:rFonts w:ascii="Gill Sans MT" w:hAnsi="Gill Sans MT" w:cs="Times New Roman"/>
          <w:bCs/>
        </w:rPr>
        <w:t xml:space="preserve">, </w:t>
      </w:r>
      <w:r w:rsidR="008A36C5">
        <w:rPr>
          <w:rFonts w:ascii="Gill Sans MT" w:hAnsi="Gill Sans MT" w:cs="Times New Roman"/>
          <w:bCs/>
        </w:rPr>
        <w:t>não obstante</w:t>
      </w:r>
      <w:r w:rsidRPr="00517171">
        <w:rPr>
          <w:rFonts w:ascii="Gill Sans MT" w:hAnsi="Gill Sans MT" w:cs="Times New Roman"/>
          <w:bCs/>
        </w:rPr>
        <w:t xml:space="preserve"> da retoma</w:t>
      </w:r>
      <w:r w:rsidR="008A36C5">
        <w:rPr>
          <w:rFonts w:ascii="Gill Sans MT" w:hAnsi="Gill Sans MT" w:cs="Times New Roman"/>
          <w:bCs/>
        </w:rPr>
        <w:t xml:space="preserve"> gradual</w:t>
      </w:r>
      <w:r w:rsidRPr="00517171">
        <w:rPr>
          <w:rFonts w:ascii="Gill Sans MT" w:hAnsi="Gill Sans MT" w:cs="Times New Roman"/>
          <w:bCs/>
        </w:rPr>
        <w:t xml:space="preserve"> de voos internacionais</w:t>
      </w:r>
      <w:r w:rsidR="003A60C5" w:rsidRPr="00517171">
        <w:rPr>
          <w:rFonts w:ascii="Gill Sans MT" w:hAnsi="Gill Sans MT" w:cs="Times New Roman"/>
          <w:bCs/>
        </w:rPr>
        <w:t xml:space="preserve">, </w:t>
      </w:r>
      <w:r w:rsidR="00DE2676" w:rsidRPr="00517171">
        <w:rPr>
          <w:rFonts w:ascii="Gill Sans MT" w:hAnsi="Gill Sans MT" w:cs="Times New Roman"/>
          <w:bCs/>
        </w:rPr>
        <w:t>afetando</w:t>
      </w:r>
      <w:r w:rsidR="00D91ADC">
        <w:rPr>
          <w:rFonts w:ascii="Gill Sans MT" w:hAnsi="Gill Sans MT" w:cs="Times New Roman"/>
          <w:bCs/>
        </w:rPr>
        <w:t xml:space="preserve"> </w:t>
      </w:r>
      <w:r w:rsidR="00DE2676" w:rsidRPr="00517171">
        <w:rPr>
          <w:rFonts w:ascii="Gill Sans MT" w:hAnsi="Gill Sans MT" w:cs="Times New Roman"/>
          <w:bCs/>
        </w:rPr>
        <w:t xml:space="preserve">assim a dinâmica do </w:t>
      </w:r>
      <w:proofErr w:type="spellStart"/>
      <w:r w:rsidR="00DE2676" w:rsidRPr="00517171">
        <w:rPr>
          <w:rFonts w:ascii="Gill Sans MT" w:hAnsi="Gill Sans MT" w:cs="Times New Roman"/>
          <w:bCs/>
          <w:i/>
        </w:rPr>
        <w:t>hub</w:t>
      </w:r>
      <w:proofErr w:type="spellEnd"/>
      <w:r w:rsidR="00DE2676" w:rsidRPr="00517171">
        <w:rPr>
          <w:rFonts w:ascii="Gill Sans MT" w:hAnsi="Gill Sans MT" w:cs="Times New Roman"/>
          <w:bCs/>
        </w:rPr>
        <w:t xml:space="preserve"> aéreo na Ilha do Sal</w:t>
      </w:r>
      <w:r w:rsidR="0067313C" w:rsidRPr="00517171">
        <w:rPr>
          <w:rFonts w:ascii="Gill Sans MT" w:hAnsi="Gill Sans MT" w:cs="Times New Roman"/>
          <w:bCs/>
        </w:rPr>
        <w:t xml:space="preserve"> e, consequentemente a </w:t>
      </w:r>
      <w:r w:rsidR="00D0078A">
        <w:rPr>
          <w:rFonts w:ascii="Gill Sans MT" w:hAnsi="Gill Sans MT" w:cs="Times New Roman"/>
          <w:bCs/>
        </w:rPr>
        <w:t>procura</w:t>
      </w:r>
      <w:r w:rsidR="00D0078A" w:rsidRPr="00517171">
        <w:rPr>
          <w:rFonts w:ascii="Gill Sans MT" w:hAnsi="Gill Sans MT" w:cs="Times New Roman"/>
          <w:bCs/>
        </w:rPr>
        <w:t xml:space="preserve"> </w:t>
      </w:r>
      <w:r w:rsidR="0067313C" w:rsidRPr="00517171">
        <w:rPr>
          <w:rFonts w:ascii="Gill Sans MT" w:hAnsi="Gill Sans MT" w:cs="Times New Roman"/>
          <w:bCs/>
        </w:rPr>
        <w:t>turística</w:t>
      </w:r>
      <w:r w:rsidR="00D0078A">
        <w:rPr>
          <w:rFonts w:ascii="Gill Sans MT" w:hAnsi="Gill Sans MT" w:cs="Times New Roman"/>
          <w:bCs/>
        </w:rPr>
        <w:t xml:space="preserve"> e atividades conexas</w:t>
      </w:r>
      <w:r w:rsidR="00DE2676" w:rsidRPr="00517171">
        <w:rPr>
          <w:rFonts w:ascii="Gill Sans MT" w:hAnsi="Gill Sans MT" w:cs="Times New Roman"/>
          <w:bCs/>
        </w:rPr>
        <w:t>.</w:t>
      </w:r>
    </w:p>
    <w:p w14:paraId="01D6EC09" w14:textId="64DBFC4D" w:rsidR="00095666" w:rsidRDefault="0041308E" w:rsidP="00095666">
      <w:pPr>
        <w:spacing w:before="240" w:after="5" w:line="360" w:lineRule="auto"/>
        <w:ind w:right="65"/>
        <w:jc w:val="both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>O</w:t>
      </w:r>
      <w:r w:rsidR="0002539E">
        <w:rPr>
          <w:rFonts w:ascii="Gill Sans MT" w:hAnsi="Gill Sans MT" w:cs="Times New Roman"/>
          <w:bCs/>
        </w:rPr>
        <w:t>s indicadores de conjuntura apontam para a</w:t>
      </w:r>
      <w:r w:rsidR="00852D18">
        <w:rPr>
          <w:rFonts w:ascii="Gill Sans MT" w:hAnsi="Gill Sans MT" w:cs="Times New Roman"/>
          <w:bCs/>
        </w:rPr>
        <w:t xml:space="preserve"> continua quebra da produção no 4º trimestre, tendo em conta a retoma condicionada</w:t>
      </w:r>
      <w:r w:rsidR="00C00228" w:rsidRPr="00C00228">
        <w:rPr>
          <w:rFonts w:ascii="Gill Sans MT" w:hAnsi="Gill Sans MT" w:cs="Times New Roman"/>
          <w:bCs/>
        </w:rPr>
        <w:t xml:space="preserve">. </w:t>
      </w:r>
      <w:r w:rsidR="00852D18" w:rsidRPr="00852D18">
        <w:rPr>
          <w:rFonts w:ascii="Gill Sans MT" w:hAnsi="Gill Sans MT" w:cs="Times New Roman"/>
          <w:bCs/>
        </w:rPr>
        <w:t xml:space="preserve">O indicador de conjuntura nas empresas continua a abrandar, atingindo o valor mais baixo nos últimos vinte e dois (22) trimestres consecutivos (-15,0%, ante 15,0% no período homólogo), evidenciando que o clima de negócios é desfavorável, apesar do desconfinamento gradual, da abertura das fronteiras e do </w:t>
      </w:r>
      <w:r w:rsidR="008C6EC0">
        <w:rPr>
          <w:rFonts w:ascii="Gill Sans MT" w:hAnsi="Gill Sans MT" w:cs="Times New Roman"/>
          <w:bCs/>
        </w:rPr>
        <w:t>robusto desempenho</w:t>
      </w:r>
      <w:r w:rsidR="00852D18" w:rsidRPr="00852D18">
        <w:rPr>
          <w:rFonts w:ascii="Gill Sans MT" w:hAnsi="Gill Sans MT" w:cs="Times New Roman"/>
          <w:bCs/>
        </w:rPr>
        <w:t xml:space="preserve"> </w:t>
      </w:r>
      <w:r w:rsidR="008C6EC0">
        <w:rPr>
          <w:rFonts w:ascii="Gill Sans MT" w:hAnsi="Gill Sans MT" w:cs="Times New Roman"/>
          <w:bCs/>
        </w:rPr>
        <w:t>de</w:t>
      </w:r>
      <w:r w:rsidR="00852D18" w:rsidRPr="00852D18">
        <w:rPr>
          <w:rFonts w:ascii="Gill Sans MT" w:hAnsi="Gill Sans MT" w:cs="Times New Roman"/>
          <w:bCs/>
        </w:rPr>
        <w:t xml:space="preserve"> alguns setores importantes, nomeadamente a construção</w:t>
      </w:r>
      <w:r w:rsidR="00095666" w:rsidRPr="00C00228">
        <w:rPr>
          <w:rFonts w:ascii="Gill Sans MT" w:hAnsi="Gill Sans MT" w:cs="Times New Roman"/>
          <w:bCs/>
        </w:rPr>
        <w:t>.</w:t>
      </w:r>
    </w:p>
    <w:p w14:paraId="666AEFA9" w14:textId="005BC093" w:rsidR="00BD0D3B" w:rsidRPr="00C00228" w:rsidRDefault="00BD0D3B" w:rsidP="00095666">
      <w:pPr>
        <w:spacing w:before="240" w:after="5" w:line="360" w:lineRule="auto"/>
        <w:ind w:right="65"/>
        <w:jc w:val="both"/>
        <w:rPr>
          <w:rFonts w:ascii="Gill Sans MT" w:hAnsi="Gill Sans MT" w:cs="Times New Roman"/>
          <w:bCs/>
        </w:rPr>
      </w:pPr>
      <w:r w:rsidRPr="00095666">
        <w:rPr>
          <w:rFonts w:ascii="Gill Sans MT" w:hAnsi="Gill Sans MT" w:cs="Times New Roman"/>
          <w:bCs/>
        </w:rPr>
        <w:t xml:space="preserve">Este diagnóstico conjuntural resultou da síntese das apreciações negativas transmitidas pelos empresários dos ramos do turismo, </w:t>
      </w:r>
      <w:r>
        <w:rPr>
          <w:rFonts w:ascii="Gill Sans MT" w:hAnsi="Gill Sans MT" w:cs="Times New Roman"/>
          <w:bCs/>
        </w:rPr>
        <w:t>do comércio em feira, da indústria transformadora e dos transportes e serviços auxiliares</w:t>
      </w:r>
      <w:r w:rsidRPr="00095666">
        <w:rPr>
          <w:rFonts w:ascii="Gill Sans MT" w:hAnsi="Gill Sans MT" w:cs="Times New Roman"/>
          <w:bCs/>
        </w:rPr>
        <w:t xml:space="preserve">. </w:t>
      </w:r>
      <w:r>
        <w:rPr>
          <w:rFonts w:ascii="Gill Sans MT" w:hAnsi="Gill Sans MT" w:cs="Times New Roman"/>
          <w:bCs/>
        </w:rPr>
        <w:t xml:space="preserve">O indicador do ramo de comércio em feira manteve estável, dando sinal de retoma da confiança dos empresários desse ramo de atividade. A </w:t>
      </w:r>
      <w:r w:rsidRPr="00095666">
        <w:rPr>
          <w:rFonts w:ascii="Gill Sans MT" w:hAnsi="Gill Sans MT" w:cs="Times New Roman"/>
          <w:bCs/>
        </w:rPr>
        <w:t>insuficiência da procura</w:t>
      </w:r>
      <w:r>
        <w:rPr>
          <w:rFonts w:ascii="Gill Sans MT" w:hAnsi="Gill Sans MT" w:cs="Times New Roman"/>
          <w:bCs/>
        </w:rPr>
        <w:t xml:space="preserve">, o elevado absentismo da mão-de-obra, o excesso de burocracia </w:t>
      </w:r>
      <w:r w:rsidRPr="00095666">
        <w:rPr>
          <w:rFonts w:ascii="Gill Sans MT" w:hAnsi="Gill Sans MT" w:cs="Times New Roman"/>
          <w:bCs/>
        </w:rPr>
        <w:t xml:space="preserve">e os </w:t>
      </w:r>
      <w:r>
        <w:rPr>
          <w:rFonts w:ascii="Gill Sans MT" w:hAnsi="Gill Sans MT" w:cs="Times New Roman"/>
          <w:bCs/>
        </w:rPr>
        <w:t xml:space="preserve">fatores </w:t>
      </w:r>
      <w:r w:rsidRPr="00095666">
        <w:rPr>
          <w:rFonts w:ascii="Gill Sans MT" w:hAnsi="Gill Sans MT" w:cs="Times New Roman"/>
          <w:bCs/>
        </w:rPr>
        <w:t>derivados do contexto da pandemia da COVID-19</w:t>
      </w:r>
      <w:r>
        <w:rPr>
          <w:rFonts w:ascii="Gill Sans MT" w:hAnsi="Gill Sans MT" w:cs="Times New Roman"/>
          <w:bCs/>
        </w:rPr>
        <w:t xml:space="preserve">, foram os </w:t>
      </w:r>
      <w:r w:rsidRPr="00095666">
        <w:rPr>
          <w:rFonts w:ascii="Gill Sans MT" w:hAnsi="Gill Sans MT" w:cs="Times New Roman"/>
          <w:bCs/>
        </w:rPr>
        <w:t xml:space="preserve">principais fatores que limitaram a atividade desses setores. </w:t>
      </w:r>
    </w:p>
    <w:p w14:paraId="65EE872F" w14:textId="77777777" w:rsidR="00C36DF1" w:rsidRDefault="00C36DF1" w:rsidP="00A24C20">
      <w:pPr>
        <w:spacing w:before="240" w:after="5" w:line="360" w:lineRule="auto"/>
        <w:ind w:right="65"/>
        <w:jc w:val="both"/>
        <w:rPr>
          <w:rFonts w:ascii="Gill Sans MT" w:eastAsia="Calibri" w:hAnsi="Gill Sans MT" w:cs="Times New Roman"/>
          <w:b/>
          <w:bCs/>
        </w:rPr>
      </w:pPr>
    </w:p>
    <w:p w14:paraId="6E899A32" w14:textId="77777777" w:rsidR="00C36DF1" w:rsidRDefault="00C36DF1" w:rsidP="00A24C20">
      <w:pPr>
        <w:spacing w:before="240" w:after="5" w:line="360" w:lineRule="auto"/>
        <w:ind w:right="65"/>
        <w:jc w:val="both"/>
        <w:rPr>
          <w:rFonts w:ascii="Gill Sans MT" w:eastAsia="Calibri" w:hAnsi="Gill Sans MT" w:cs="Times New Roman"/>
          <w:b/>
          <w:bCs/>
        </w:rPr>
      </w:pPr>
    </w:p>
    <w:p w14:paraId="5834F4C1" w14:textId="77777777" w:rsidR="00C36DF1" w:rsidRDefault="00C36DF1" w:rsidP="00A24C20">
      <w:pPr>
        <w:spacing w:before="240" w:after="5" w:line="360" w:lineRule="auto"/>
        <w:ind w:right="65"/>
        <w:jc w:val="both"/>
        <w:rPr>
          <w:rFonts w:ascii="Gill Sans MT" w:eastAsia="Calibri" w:hAnsi="Gill Sans MT" w:cs="Times New Roman"/>
          <w:b/>
          <w:bCs/>
        </w:rPr>
      </w:pPr>
    </w:p>
    <w:p w14:paraId="747CF1FE" w14:textId="77777777" w:rsidR="00C36DF1" w:rsidRDefault="00C36DF1" w:rsidP="00A24C20">
      <w:pPr>
        <w:spacing w:before="240" w:after="5" w:line="360" w:lineRule="auto"/>
        <w:ind w:right="65"/>
        <w:jc w:val="both"/>
        <w:rPr>
          <w:rFonts w:ascii="Gill Sans MT" w:eastAsia="Calibri" w:hAnsi="Gill Sans MT" w:cs="Times New Roman"/>
          <w:b/>
          <w:bCs/>
        </w:rPr>
      </w:pPr>
    </w:p>
    <w:p w14:paraId="58595A42" w14:textId="5246782B" w:rsidR="00CF0F0D" w:rsidRDefault="00CF0F0D" w:rsidP="00A24C20">
      <w:pPr>
        <w:spacing w:before="240" w:after="5" w:line="360" w:lineRule="auto"/>
        <w:ind w:right="65"/>
        <w:jc w:val="both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lastRenderedPageBreak/>
        <w:t xml:space="preserve">Gráfico </w:t>
      </w:r>
      <w:r w:rsidR="00105A2D">
        <w:rPr>
          <w:rFonts w:ascii="Gill Sans MT" w:eastAsia="Calibri" w:hAnsi="Gill Sans MT" w:cs="Times New Roman"/>
          <w:b/>
          <w:bCs/>
        </w:rPr>
        <w:t>7</w:t>
      </w:r>
      <w:r>
        <w:rPr>
          <w:rFonts w:ascii="Gill Sans MT" w:eastAsia="Calibri" w:hAnsi="Gill Sans MT" w:cs="Times New Roman"/>
          <w:b/>
          <w:bCs/>
        </w:rPr>
        <w:t xml:space="preserve"> – Indicador de Clima Económico e Indicador de Confiança no Consumidor (VE-MM3)</w:t>
      </w:r>
    </w:p>
    <w:p w14:paraId="76E88AB6" w14:textId="70A1348C" w:rsidR="00CF0F0D" w:rsidRDefault="00BD0D3B" w:rsidP="00CF0F0D">
      <w:pPr>
        <w:spacing w:after="0" w:line="240" w:lineRule="auto"/>
        <w:jc w:val="center"/>
        <w:rPr>
          <w:rFonts w:ascii="Gill Sans MT" w:hAnsi="Gill Sans MT" w:cs="Times New Roman"/>
          <w:bCs/>
        </w:rPr>
      </w:pPr>
      <w:r w:rsidRPr="00BD0D3B">
        <w:rPr>
          <w:noProof/>
          <w:lang w:eastAsia="pt-PT"/>
        </w:rPr>
        <w:drawing>
          <wp:inline distT="0" distB="0" distL="0" distR="0" wp14:anchorId="5553317C" wp14:editId="0ABA9083">
            <wp:extent cx="5222384" cy="233145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13" cy="23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F0D">
        <w:rPr>
          <w:rFonts w:ascii="Gill Sans MT" w:hAnsi="Gill Sans MT" w:cs="Times New Roman"/>
          <w:bCs/>
        </w:rPr>
        <w:t xml:space="preserve"> </w:t>
      </w:r>
    </w:p>
    <w:p w14:paraId="521E682B" w14:textId="0CA2A1D6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="00781364">
        <w:rPr>
          <w:rFonts w:ascii="Gill Sans MT" w:eastAsia="Calibri" w:hAnsi="Gill Sans MT" w:cs="Times New Roman"/>
          <w:sz w:val="18"/>
          <w:szCs w:val="18"/>
        </w:rPr>
        <w:t>Instituto Nacional de Estatísticas.</w:t>
      </w:r>
    </w:p>
    <w:p w14:paraId="738F23CB" w14:textId="77777777" w:rsidR="00CF0F0D" w:rsidRDefault="00CF0F0D" w:rsidP="00CF0F0D">
      <w:pPr>
        <w:spacing w:line="360" w:lineRule="auto"/>
        <w:jc w:val="both"/>
        <w:rPr>
          <w:rFonts w:ascii="Gill Sans MT" w:hAnsi="Gill Sans MT" w:cs="Arial"/>
          <w:bCs/>
        </w:rPr>
      </w:pPr>
    </w:p>
    <w:p w14:paraId="24EF6D38" w14:textId="5A115553" w:rsidR="00FF483A" w:rsidRDefault="00C437E2" w:rsidP="00FF483A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Já</w:t>
      </w:r>
      <w:r w:rsidR="009E61A4">
        <w:rPr>
          <w:rFonts w:ascii="Gill Sans MT" w:hAnsi="Gill Sans MT" w:cs="Arial"/>
          <w:bCs/>
        </w:rPr>
        <w:t xml:space="preserve"> o </w:t>
      </w:r>
      <w:r w:rsidR="009E61A4" w:rsidRPr="00F91BF0">
        <w:rPr>
          <w:rFonts w:ascii="Gill Sans MT" w:hAnsi="Gill Sans MT" w:cs="Arial"/>
          <w:bCs/>
        </w:rPr>
        <w:t xml:space="preserve">indicador de confiança no consumidor </w:t>
      </w:r>
      <w:r>
        <w:rPr>
          <w:rFonts w:ascii="Gill Sans MT" w:hAnsi="Gill Sans MT" w:cs="Arial"/>
          <w:bCs/>
        </w:rPr>
        <w:t>inverteu</w:t>
      </w:r>
      <w:r w:rsidR="009E61A4" w:rsidRPr="00F91BF0">
        <w:rPr>
          <w:rFonts w:ascii="Gill Sans MT" w:hAnsi="Gill Sans MT" w:cs="Arial"/>
          <w:bCs/>
        </w:rPr>
        <w:t xml:space="preserve"> a tendência decrescente</w:t>
      </w:r>
      <w:r>
        <w:rPr>
          <w:rFonts w:ascii="Gill Sans MT" w:hAnsi="Gill Sans MT" w:cs="Arial"/>
          <w:bCs/>
        </w:rPr>
        <w:t xml:space="preserve"> dos últimos trimestres</w:t>
      </w:r>
      <w:r w:rsidR="009E61A4" w:rsidRPr="00F91BF0">
        <w:rPr>
          <w:rFonts w:ascii="Gill Sans MT" w:hAnsi="Gill Sans MT" w:cs="Arial"/>
          <w:bCs/>
        </w:rPr>
        <w:t xml:space="preserve">, </w:t>
      </w:r>
      <w:r w:rsidR="009E61A4">
        <w:rPr>
          <w:rFonts w:ascii="Gill Sans MT" w:hAnsi="Gill Sans MT" w:cs="Arial"/>
          <w:bCs/>
        </w:rPr>
        <w:t>revelando</w:t>
      </w:r>
      <w:r w:rsidR="009E61A4" w:rsidRPr="00F91BF0">
        <w:rPr>
          <w:rFonts w:ascii="Gill Sans MT" w:hAnsi="Gill Sans MT" w:cs="Arial"/>
          <w:bCs/>
        </w:rPr>
        <w:t xml:space="preserve"> </w:t>
      </w:r>
      <w:r w:rsidR="00FF483A">
        <w:rPr>
          <w:rFonts w:ascii="Gill Sans MT" w:hAnsi="Gill Sans MT" w:cs="Arial"/>
          <w:bCs/>
        </w:rPr>
        <w:t>o aumentar</w:t>
      </w:r>
      <w:r w:rsidR="009E61A4" w:rsidRPr="00F91BF0">
        <w:rPr>
          <w:rFonts w:ascii="Gill Sans MT" w:hAnsi="Gill Sans MT" w:cs="Arial"/>
          <w:bCs/>
        </w:rPr>
        <w:t xml:space="preserve"> da confiança nas famílias cabo-verdianas.</w:t>
      </w:r>
      <w:r w:rsidR="009E61A4">
        <w:rPr>
          <w:rFonts w:ascii="Gill Sans MT" w:hAnsi="Gill Sans MT" w:cs="Arial"/>
          <w:bCs/>
        </w:rPr>
        <w:t xml:space="preserve"> </w:t>
      </w:r>
      <w:r w:rsidR="00FF483A">
        <w:rPr>
          <w:rFonts w:ascii="Gill Sans MT" w:hAnsi="Gill Sans MT" w:cs="Arial"/>
          <w:bCs/>
        </w:rPr>
        <w:t xml:space="preserve">Relativamente a conjuntura presente, tanto para a situação económica do seu lar como a situação económica do país, para as famílias, evoluíram positivamente. Na perceção os inquiridos, tanto os preços dos bens e serviços como o desemprego aumentaram, face ao período homólogo. Quando questionados sobre o item poupança, a maior parte </w:t>
      </w:r>
      <w:r w:rsidR="00FF483A" w:rsidRPr="005D5FC8">
        <w:rPr>
          <w:rFonts w:ascii="Gill Sans MT" w:hAnsi="Gill Sans MT" w:cs="Arial"/>
          <w:bCs/>
        </w:rPr>
        <w:t>(</w:t>
      </w:r>
      <w:r w:rsidR="00FF483A">
        <w:rPr>
          <w:rFonts w:ascii="Gill Sans MT" w:hAnsi="Gill Sans MT" w:cs="Arial"/>
          <w:bCs/>
        </w:rPr>
        <w:t>86</w:t>
      </w:r>
      <w:r w:rsidR="00FF483A" w:rsidRPr="005D5FC8">
        <w:rPr>
          <w:rFonts w:ascii="Gill Sans MT" w:hAnsi="Gill Sans MT" w:cs="Arial"/>
          <w:bCs/>
        </w:rPr>
        <w:t>,</w:t>
      </w:r>
      <w:r w:rsidR="00FF483A">
        <w:rPr>
          <w:rFonts w:ascii="Gill Sans MT" w:hAnsi="Gill Sans MT" w:cs="Arial"/>
          <w:bCs/>
        </w:rPr>
        <w:t>3</w:t>
      </w:r>
      <w:r w:rsidR="00FF483A" w:rsidRPr="005D5FC8">
        <w:rPr>
          <w:rFonts w:ascii="Gill Sans MT" w:hAnsi="Gill Sans MT" w:cs="Arial"/>
          <w:bCs/>
        </w:rPr>
        <w:t>%) consideraram que a</w:t>
      </w:r>
      <w:r w:rsidR="00FF483A">
        <w:rPr>
          <w:rFonts w:ascii="Gill Sans MT" w:hAnsi="Gill Sans MT" w:cs="Arial"/>
          <w:bCs/>
        </w:rPr>
        <w:t>inda a</w:t>
      </w:r>
      <w:r w:rsidR="00FF483A" w:rsidRPr="005D5FC8">
        <w:rPr>
          <w:rFonts w:ascii="Gill Sans MT" w:hAnsi="Gill Sans MT" w:cs="Arial"/>
          <w:bCs/>
        </w:rPr>
        <w:t xml:space="preserve"> atual situação económica do país não permite</w:t>
      </w:r>
      <w:r w:rsidR="00FF483A">
        <w:rPr>
          <w:rFonts w:ascii="Gill Sans MT" w:hAnsi="Gill Sans MT" w:cs="Arial"/>
          <w:bCs/>
        </w:rPr>
        <w:t xml:space="preserve"> tal possibilidade</w:t>
      </w:r>
      <w:r w:rsidR="00FF483A" w:rsidRPr="005D5FC8">
        <w:rPr>
          <w:rFonts w:ascii="Gill Sans MT" w:hAnsi="Gill Sans MT" w:cs="Arial"/>
          <w:bCs/>
        </w:rPr>
        <w:t>.</w:t>
      </w:r>
      <w:r w:rsidR="00FF483A">
        <w:rPr>
          <w:rFonts w:ascii="Gill Sans MT" w:hAnsi="Gill Sans MT" w:cs="Arial"/>
          <w:bCs/>
        </w:rPr>
        <w:t xml:space="preserve"> </w:t>
      </w:r>
      <w:r w:rsidR="00FF483A" w:rsidRPr="00E978AD">
        <w:rPr>
          <w:rFonts w:ascii="Gill Sans MT" w:hAnsi="Gill Sans MT" w:cs="Arial"/>
          <w:bCs/>
        </w:rPr>
        <w:t xml:space="preserve">No trimestre homólogo, esse percentual foi de </w:t>
      </w:r>
      <w:r w:rsidR="00FF483A">
        <w:rPr>
          <w:rFonts w:ascii="Gill Sans MT" w:hAnsi="Gill Sans MT" w:cs="Arial"/>
          <w:bCs/>
        </w:rPr>
        <w:t>83</w:t>
      </w:r>
      <w:r w:rsidR="00FF483A" w:rsidRPr="00E978AD">
        <w:rPr>
          <w:rFonts w:ascii="Gill Sans MT" w:hAnsi="Gill Sans MT" w:cs="Arial"/>
          <w:bCs/>
        </w:rPr>
        <w:t>,</w:t>
      </w:r>
      <w:r w:rsidR="00FF483A">
        <w:rPr>
          <w:rFonts w:ascii="Gill Sans MT" w:hAnsi="Gill Sans MT" w:cs="Arial"/>
          <w:bCs/>
        </w:rPr>
        <w:t>3</w:t>
      </w:r>
      <w:r w:rsidR="00FF483A" w:rsidRPr="00E978AD">
        <w:rPr>
          <w:rFonts w:ascii="Gill Sans MT" w:hAnsi="Gill Sans MT" w:cs="Arial"/>
          <w:bCs/>
        </w:rPr>
        <w:t>%,</w:t>
      </w:r>
      <w:r w:rsidR="00FF483A">
        <w:rPr>
          <w:rFonts w:ascii="Gill Sans MT" w:hAnsi="Gill Sans MT" w:cs="Arial"/>
          <w:bCs/>
        </w:rPr>
        <w:t xml:space="preserve"> portanto representando um acréscimo de 3</w:t>
      </w:r>
      <w:r w:rsidR="00FF483A" w:rsidRPr="00E978AD">
        <w:rPr>
          <w:rFonts w:ascii="Gill Sans MT" w:hAnsi="Gill Sans MT" w:cs="Arial"/>
          <w:bCs/>
        </w:rPr>
        <w:t>,</w:t>
      </w:r>
      <w:r w:rsidR="00FF483A">
        <w:rPr>
          <w:rFonts w:ascii="Gill Sans MT" w:hAnsi="Gill Sans MT" w:cs="Arial"/>
          <w:bCs/>
        </w:rPr>
        <w:t>0</w:t>
      </w:r>
      <w:r w:rsidR="00FF483A" w:rsidRPr="00E978AD">
        <w:rPr>
          <w:rFonts w:ascii="Gill Sans MT" w:hAnsi="Gill Sans MT" w:cs="Arial"/>
          <w:bCs/>
        </w:rPr>
        <w:t xml:space="preserve"> p.p. </w:t>
      </w:r>
    </w:p>
    <w:p w14:paraId="00A4BA59" w14:textId="60581451" w:rsidR="009E61A4" w:rsidRDefault="009E61A4" w:rsidP="009E61A4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Quanto a perspetiva futura, para os próximos 12 meses, tanto a situação financeira como a situação económica do país deverão evoluir negativamente, levando a uma redução dos preços e do emprego</w:t>
      </w:r>
      <w:r w:rsidR="00EF6E9B">
        <w:rPr>
          <w:rFonts w:ascii="Gill Sans MT" w:hAnsi="Gill Sans MT" w:cs="Arial"/>
          <w:bCs/>
        </w:rPr>
        <w:t>.</w:t>
      </w:r>
    </w:p>
    <w:p w14:paraId="76A72CC5" w14:textId="19426922" w:rsidR="00E45882" w:rsidRDefault="00E45882" w:rsidP="00E45882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Relativamente aos preços, em dezembro de 2020 a </w:t>
      </w:r>
      <w:r w:rsidRPr="00E45882">
        <w:rPr>
          <w:rFonts w:ascii="Gill Sans MT" w:hAnsi="Gill Sans MT" w:cs="Arial"/>
          <w:bCs/>
        </w:rPr>
        <w:t>inflação média anual situou-se em 0,6%</w:t>
      </w:r>
      <w:r>
        <w:rPr>
          <w:rFonts w:ascii="Gill Sans MT" w:hAnsi="Gill Sans MT" w:cs="Arial"/>
          <w:bCs/>
        </w:rPr>
        <w:t xml:space="preserve"> (</w:t>
      </w:r>
      <w:r w:rsidRPr="00E45882">
        <w:rPr>
          <w:rFonts w:ascii="Gill Sans MT" w:hAnsi="Gill Sans MT" w:cs="Arial"/>
          <w:bCs/>
        </w:rPr>
        <w:t>reduzindo 0,5 p.p., face ao período homologo de 2019</w:t>
      </w:r>
      <w:r>
        <w:rPr>
          <w:rFonts w:ascii="Gill Sans MT" w:hAnsi="Gill Sans MT" w:cs="Arial"/>
          <w:bCs/>
        </w:rPr>
        <w:t>)</w:t>
      </w:r>
      <w:r w:rsidRPr="00E45882">
        <w:rPr>
          <w:rFonts w:ascii="Gill Sans MT" w:hAnsi="Gill Sans MT" w:cs="Arial"/>
          <w:bCs/>
        </w:rPr>
        <w:t xml:space="preserve">, refletindo a </w:t>
      </w:r>
      <w:r w:rsidR="00F64906">
        <w:rPr>
          <w:rFonts w:ascii="Gill Sans MT" w:hAnsi="Gill Sans MT" w:cs="Arial"/>
          <w:bCs/>
        </w:rPr>
        <w:t>dinâmica</w:t>
      </w:r>
      <w:r w:rsidR="00F64906" w:rsidRPr="00E45882">
        <w:rPr>
          <w:rFonts w:ascii="Gill Sans MT" w:hAnsi="Gill Sans MT" w:cs="Arial"/>
          <w:bCs/>
        </w:rPr>
        <w:t xml:space="preserve"> </w:t>
      </w:r>
      <w:r w:rsidRPr="00E45882">
        <w:rPr>
          <w:rFonts w:ascii="Gill Sans MT" w:hAnsi="Gill Sans MT" w:cs="Arial"/>
          <w:bCs/>
        </w:rPr>
        <w:t>da inflação importada</w:t>
      </w:r>
      <w:r w:rsidR="00E82B4D">
        <w:rPr>
          <w:rFonts w:ascii="Gill Sans MT" w:hAnsi="Gill Sans MT" w:cs="Arial"/>
          <w:bCs/>
        </w:rPr>
        <w:t>,</w:t>
      </w:r>
      <w:r w:rsidRPr="00E45882">
        <w:rPr>
          <w:rFonts w:ascii="Gill Sans MT" w:hAnsi="Gill Sans MT" w:cs="Arial"/>
          <w:bCs/>
        </w:rPr>
        <w:t xml:space="preserve"> em especifico </w:t>
      </w:r>
      <w:r w:rsidR="00F64906">
        <w:rPr>
          <w:rFonts w:ascii="Gill Sans MT" w:hAnsi="Gill Sans MT" w:cs="Arial"/>
          <w:bCs/>
        </w:rPr>
        <w:t xml:space="preserve">a redução </w:t>
      </w:r>
      <w:r w:rsidRPr="00E45882">
        <w:rPr>
          <w:rFonts w:ascii="Gill Sans MT" w:hAnsi="Gill Sans MT" w:cs="Arial"/>
          <w:bCs/>
        </w:rPr>
        <w:t xml:space="preserve">dos </w:t>
      </w:r>
      <w:r w:rsidR="00F64906">
        <w:rPr>
          <w:rFonts w:ascii="Gill Sans MT" w:hAnsi="Gill Sans MT" w:cs="Arial"/>
          <w:bCs/>
        </w:rPr>
        <w:t xml:space="preserve">preços dos </w:t>
      </w:r>
      <w:r w:rsidRPr="00E45882">
        <w:rPr>
          <w:rFonts w:ascii="Gill Sans MT" w:hAnsi="Gill Sans MT" w:cs="Arial"/>
          <w:bCs/>
        </w:rPr>
        <w:t xml:space="preserve">combustíveis, bem como a redução da pressão de demanda. </w:t>
      </w:r>
      <w:r w:rsidR="00FD1B09">
        <w:rPr>
          <w:rFonts w:ascii="Gill Sans MT" w:hAnsi="Gill Sans MT" w:cs="Arial"/>
          <w:bCs/>
        </w:rPr>
        <w:t>Conforme os dados do INE, a</w:t>
      </w:r>
      <w:r w:rsidRPr="00E45882">
        <w:rPr>
          <w:rFonts w:ascii="Gill Sans MT" w:hAnsi="Gill Sans MT" w:cs="Arial"/>
          <w:bCs/>
        </w:rPr>
        <w:t>s classes de bens e serviços com trajetória dos preços descendentes são: Vestuários e calçado (-4,8 p.p.), dos Hotéis, restaurantes, cafés e similares (-3,1 p.p.), das bebidas alcoólicas e tabaco (-0,9 p.p.), das Comunicações (-0,5 p.p.), dos bens e serviços diversos (-0,6 p.p.), dos bens energéticos e do ensino (-0,4 p.p., respetivamente), portanto, espelhando os ramos mais afetados pela pandemia</w:t>
      </w:r>
      <w:r w:rsidR="00C14CDE">
        <w:rPr>
          <w:rFonts w:ascii="Gill Sans MT" w:hAnsi="Gill Sans MT" w:cs="Arial"/>
          <w:bCs/>
        </w:rPr>
        <w:t>.</w:t>
      </w:r>
    </w:p>
    <w:p w14:paraId="0522443A" w14:textId="118D594A" w:rsidR="00CF0F0D" w:rsidRDefault="00CF0F0D" w:rsidP="00FB795A">
      <w:pPr>
        <w:spacing w:line="36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>Gráfico</w:t>
      </w:r>
      <w:r w:rsidR="005642C4">
        <w:rPr>
          <w:rFonts w:ascii="Gill Sans MT" w:eastAsia="Calibri" w:hAnsi="Gill Sans MT" w:cs="Times New Roman"/>
          <w:b/>
          <w:bCs/>
        </w:rPr>
        <w:t xml:space="preserve"> </w:t>
      </w:r>
      <w:r w:rsidR="00105A2D">
        <w:rPr>
          <w:rFonts w:ascii="Gill Sans MT" w:eastAsia="Calibri" w:hAnsi="Gill Sans MT" w:cs="Times New Roman"/>
          <w:b/>
          <w:bCs/>
        </w:rPr>
        <w:t>8</w:t>
      </w:r>
      <w:r>
        <w:rPr>
          <w:rFonts w:ascii="Gill Sans MT" w:eastAsia="Calibri" w:hAnsi="Gill Sans MT" w:cs="Times New Roman"/>
          <w:b/>
          <w:bCs/>
        </w:rPr>
        <w:t>: Evolução das Taxas de Inflação</w:t>
      </w:r>
    </w:p>
    <w:p w14:paraId="0EA011BB" w14:textId="6D444CFC" w:rsidR="00CF0F0D" w:rsidRDefault="00CF0F0D" w:rsidP="00CF0F0D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</w:t>
      </w:r>
      <w:r w:rsidR="00782F64" w:rsidRPr="00782F64">
        <w:rPr>
          <w:noProof/>
          <w:lang w:eastAsia="pt-PT"/>
        </w:rPr>
        <w:drawing>
          <wp:inline distT="0" distB="0" distL="0" distR="0" wp14:anchorId="69900839" wp14:editId="44A19C13">
            <wp:extent cx="4176215" cy="2470938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35" cy="24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F04D" w14:textId="76601CDE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="009302D2">
        <w:rPr>
          <w:rFonts w:ascii="Gill Sans MT" w:eastAsia="Calibri" w:hAnsi="Gill Sans MT" w:cs="Times New Roman"/>
          <w:sz w:val="18"/>
          <w:szCs w:val="18"/>
        </w:rPr>
        <w:t>Instituto Nacional de Estatísticas.</w:t>
      </w:r>
    </w:p>
    <w:p w14:paraId="5D138ABE" w14:textId="77777777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Cs/>
          <w:sz w:val="18"/>
          <w:szCs w:val="18"/>
        </w:rPr>
      </w:pPr>
    </w:p>
    <w:p w14:paraId="51BE93E2" w14:textId="77777777" w:rsidR="00CF0F0D" w:rsidRDefault="00CF0F0D" w:rsidP="00CF0F0D">
      <w:pPr>
        <w:spacing w:after="0" w:line="240" w:lineRule="auto"/>
        <w:jc w:val="both"/>
        <w:rPr>
          <w:rFonts w:ascii="Gill Sans MT" w:hAnsi="Gill Sans MT" w:cs="Arial"/>
          <w:bCs/>
          <w:sz w:val="18"/>
          <w:szCs w:val="18"/>
        </w:rPr>
      </w:pPr>
    </w:p>
    <w:p w14:paraId="7E379519" w14:textId="63EE7098" w:rsidR="00893EE3" w:rsidRDefault="00FB44CE" w:rsidP="005C64A6">
      <w:pPr>
        <w:spacing w:line="360" w:lineRule="auto"/>
        <w:jc w:val="both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 xml:space="preserve">Em sentido contrário, </w:t>
      </w:r>
      <w:r w:rsidRPr="00FB44CE">
        <w:rPr>
          <w:rFonts w:ascii="Gill Sans MT" w:hAnsi="Gill Sans MT" w:cs="Times New Roman"/>
          <w:bCs/>
        </w:rPr>
        <w:t>os aumentos de preço</w:t>
      </w:r>
      <w:r w:rsidR="00EF6E9B">
        <w:rPr>
          <w:rFonts w:ascii="Gill Sans MT" w:hAnsi="Gill Sans MT" w:cs="Times New Roman"/>
          <w:bCs/>
        </w:rPr>
        <w:t>s</w:t>
      </w:r>
      <w:r w:rsidRPr="00FB44CE">
        <w:rPr>
          <w:rFonts w:ascii="Gill Sans MT" w:hAnsi="Gill Sans MT" w:cs="Times New Roman"/>
          <w:bCs/>
        </w:rPr>
        <w:t xml:space="preserve"> vieram das classes de saúde (+2,8 p.p.), dos acessórios e equipamentos domésticos e manutenção corrente de habitação (+1,4 p.p.), da saúde (+2,3 p.p.) e dos bens alimentares e bebidas não alcoólicas, associado ao aumento</w:t>
      </w:r>
      <w:r w:rsidR="00F32949">
        <w:rPr>
          <w:rFonts w:ascii="Gill Sans MT" w:hAnsi="Gill Sans MT" w:cs="Times New Roman"/>
          <w:bCs/>
        </w:rPr>
        <w:t xml:space="preserve"> de preço desses bens no mercado internacional</w:t>
      </w:r>
      <w:r w:rsidR="00C71E79" w:rsidRPr="00C71E79">
        <w:rPr>
          <w:rFonts w:ascii="Gill Sans MT" w:hAnsi="Gill Sans MT" w:cs="Times New Roman"/>
          <w:bCs/>
        </w:rPr>
        <w:t>.</w:t>
      </w:r>
      <w:r w:rsidR="005C64A6">
        <w:rPr>
          <w:rFonts w:ascii="Gill Sans MT" w:hAnsi="Gill Sans MT" w:cs="Times New Roman"/>
          <w:bCs/>
        </w:rPr>
        <w:t xml:space="preserve"> </w:t>
      </w:r>
      <w:r w:rsidR="006C6807">
        <w:rPr>
          <w:rFonts w:ascii="Gill Sans MT" w:hAnsi="Gill Sans MT" w:cs="Times New Roman"/>
          <w:bCs/>
        </w:rPr>
        <w:t xml:space="preserve">A inflação homóloga </w:t>
      </w:r>
      <w:r w:rsidR="00E7025F">
        <w:rPr>
          <w:rFonts w:ascii="Gill Sans MT" w:hAnsi="Gill Sans MT" w:cs="Times New Roman"/>
          <w:bCs/>
        </w:rPr>
        <w:t>atingiu o valor negativo de</w:t>
      </w:r>
      <w:r w:rsidR="006C6807">
        <w:rPr>
          <w:rFonts w:ascii="Gill Sans MT" w:hAnsi="Gill Sans MT" w:cs="Times New Roman"/>
          <w:bCs/>
        </w:rPr>
        <w:t xml:space="preserve"> </w:t>
      </w:r>
      <w:r w:rsidR="00A22AB6">
        <w:rPr>
          <w:rFonts w:ascii="Gill Sans MT" w:hAnsi="Gill Sans MT" w:cs="Times New Roman"/>
          <w:bCs/>
        </w:rPr>
        <w:t>0</w:t>
      </w:r>
      <w:r w:rsidR="0022372A">
        <w:rPr>
          <w:rFonts w:ascii="Gill Sans MT" w:hAnsi="Gill Sans MT" w:cs="Times New Roman"/>
          <w:bCs/>
        </w:rPr>
        <w:t>,</w:t>
      </w:r>
      <w:r w:rsidR="00E7025F">
        <w:rPr>
          <w:rFonts w:ascii="Gill Sans MT" w:hAnsi="Gill Sans MT" w:cs="Times New Roman"/>
          <w:bCs/>
        </w:rPr>
        <w:t>9</w:t>
      </w:r>
      <w:r w:rsidR="006C6807">
        <w:rPr>
          <w:rFonts w:ascii="Gill Sans MT" w:hAnsi="Gill Sans MT" w:cs="Times New Roman"/>
          <w:bCs/>
        </w:rPr>
        <w:t xml:space="preserve">%, </w:t>
      </w:r>
      <w:r w:rsidR="00E7025F">
        <w:rPr>
          <w:rFonts w:ascii="Gill Sans MT" w:hAnsi="Gill Sans MT" w:cs="Times New Roman"/>
          <w:bCs/>
        </w:rPr>
        <w:t>reduzindo</w:t>
      </w:r>
      <w:r w:rsidR="006C6807">
        <w:rPr>
          <w:rFonts w:ascii="Gill Sans MT" w:hAnsi="Gill Sans MT" w:cs="Times New Roman"/>
          <w:bCs/>
        </w:rPr>
        <w:t xml:space="preserve"> </w:t>
      </w:r>
      <w:r w:rsidR="00E7025F">
        <w:rPr>
          <w:rFonts w:ascii="Gill Sans MT" w:hAnsi="Gill Sans MT" w:cs="Times New Roman"/>
          <w:bCs/>
        </w:rPr>
        <w:t>2</w:t>
      </w:r>
      <w:r w:rsidR="006C6807">
        <w:rPr>
          <w:rFonts w:ascii="Gill Sans MT" w:hAnsi="Gill Sans MT" w:cs="Times New Roman"/>
          <w:bCs/>
        </w:rPr>
        <w:t>,</w:t>
      </w:r>
      <w:r w:rsidR="0022372A">
        <w:rPr>
          <w:rFonts w:ascii="Gill Sans MT" w:hAnsi="Gill Sans MT" w:cs="Times New Roman"/>
          <w:bCs/>
        </w:rPr>
        <w:t>8</w:t>
      </w:r>
      <w:r w:rsidR="006C6807">
        <w:rPr>
          <w:rFonts w:ascii="Gill Sans MT" w:hAnsi="Gill Sans MT" w:cs="Times New Roman"/>
          <w:bCs/>
        </w:rPr>
        <w:t xml:space="preserve"> p.p., </w:t>
      </w:r>
      <w:r w:rsidR="00E7025F">
        <w:rPr>
          <w:rFonts w:ascii="Gill Sans MT" w:hAnsi="Gill Sans MT" w:cs="Times New Roman"/>
          <w:bCs/>
        </w:rPr>
        <w:t>face ao registado no período homólogo</w:t>
      </w:r>
      <w:r w:rsidR="006C6807">
        <w:rPr>
          <w:rFonts w:ascii="Gill Sans MT" w:hAnsi="Gill Sans MT" w:cs="Times New Roman"/>
          <w:bCs/>
        </w:rPr>
        <w:t xml:space="preserve">. </w:t>
      </w:r>
      <w:r w:rsidR="00B943C4" w:rsidRPr="00B943C4">
        <w:rPr>
          <w:rFonts w:ascii="Gill Sans MT" w:hAnsi="Gill Sans MT" w:cs="Times New Roman"/>
          <w:bCs/>
        </w:rPr>
        <w:t>A inflação subjacente</w:t>
      </w:r>
      <w:r w:rsidR="00D7175F">
        <w:rPr>
          <w:rFonts w:ascii="Gill Sans MT" w:hAnsi="Gill Sans MT" w:cs="Times New Roman"/>
          <w:bCs/>
        </w:rPr>
        <w:t xml:space="preserve"> que</w:t>
      </w:r>
      <w:r w:rsidR="00B943C4" w:rsidRPr="00B943C4">
        <w:rPr>
          <w:rFonts w:ascii="Gill Sans MT" w:hAnsi="Gill Sans MT" w:cs="Times New Roman"/>
          <w:bCs/>
        </w:rPr>
        <w:t xml:space="preserve"> </w:t>
      </w:r>
      <w:r w:rsidR="005E5B38">
        <w:rPr>
          <w:rFonts w:ascii="Gill Sans MT" w:hAnsi="Gill Sans MT" w:cs="Times New Roman"/>
          <w:bCs/>
        </w:rPr>
        <w:t>tem apresentado uma tendência decrescente des</w:t>
      </w:r>
      <w:r w:rsidR="00D7175F">
        <w:rPr>
          <w:rFonts w:ascii="Gill Sans MT" w:hAnsi="Gill Sans MT" w:cs="Times New Roman"/>
          <w:bCs/>
        </w:rPr>
        <w:t>de agosto</w:t>
      </w:r>
      <w:r w:rsidR="00B943C4" w:rsidRPr="00B943C4">
        <w:rPr>
          <w:rFonts w:ascii="Gill Sans MT" w:hAnsi="Gill Sans MT" w:cs="Times New Roman"/>
          <w:bCs/>
        </w:rPr>
        <w:t>,</w:t>
      </w:r>
      <w:r w:rsidR="009A2FF1">
        <w:rPr>
          <w:rFonts w:ascii="Gill Sans MT" w:hAnsi="Gill Sans MT" w:cs="Times New Roman"/>
          <w:bCs/>
        </w:rPr>
        <w:t xml:space="preserve"> situou-se</w:t>
      </w:r>
      <w:r w:rsidR="00D7175F">
        <w:rPr>
          <w:rFonts w:ascii="Gill Sans MT" w:hAnsi="Gill Sans MT" w:cs="Times New Roman"/>
          <w:bCs/>
        </w:rPr>
        <w:t xml:space="preserve"> em 1,3% nos finais de 2020, </w:t>
      </w:r>
      <w:r w:rsidR="00B943C4" w:rsidRPr="00B943C4">
        <w:rPr>
          <w:rFonts w:ascii="Gill Sans MT" w:hAnsi="Gill Sans MT" w:cs="Times New Roman"/>
          <w:bCs/>
        </w:rPr>
        <w:t>sinalizando para a redução da pressão da demanda nos preços.</w:t>
      </w:r>
    </w:p>
    <w:p w14:paraId="736B05EE" w14:textId="77777777" w:rsidR="0024615D" w:rsidRPr="00E00056" w:rsidRDefault="0024615D" w:rsidP="00E00056">
      <w:pPr>
        <w:spacing w:before="240" w:after="5" w:line="360" w:lineRule="auto"/>
        <w:ind w:right="65"/>
        <w:jc w:val="both"/>
        <w:rPr>
          <w:rFonts w:ascii="Gill Sans MT" w:hAnsi="Gill Sans MT" w:cs="Times New Roman"/>
          <w:bCs/>
        </w:rPr>
      </w:pPr>
    </w:p>
    <w:p w14:paraId="7812ED09" w14:textId="582E2B14" w:rsidR="00CF0F0D" w:rsidRDefault="00CF0F0D" w:rsidP="00893EE3">
      <w:pPr>
        <w:ind w:firstLine="709"/>
        <w:outlineLvl w:val="1"/>
        <w:rPr>
          <w:rFonts w:ascii="Gill Sans MT" w:hAnsi="Gill Sans MT" w:cs="Arial"/>
          <w:b/>
          <w:bCs/>
        </w:rPr>
      </w:pPr>
      <w:bookmarkStart w:id="7" w:name="_Toc65659056"/>
      <w:r>
        <w:rPr>
          <w:rFonts w:ascii="Gill Sans MT" w:hAnsi="Gill Sans MT" w:cs="Arial"/>
          <w:b/>
          <w:bCs/>
        </w:rPr>
        <w:t>II.2. Setor Externo</w:t>
      </w:r>
      <w:bookmarkEnd w:id="7"/>
    </w:p>
    <w:p w14:paraId="7E16C3F0" w14:textId="1188AD6D" w:rsidR="004B5856" w:rsidRPr="00FB6053" w:rsidRDefault="004B5856" w:rsidP="00FB6053">
      <w:pPr>
        <w:spacing w:line="360" w:lineRule="auto"/>
        <w:jc w:val="both"/>
        <w:rPr>
          <w:rFonts w:ascii="Gill Sans MT" w:hAnsi="Gill Sans MT" w:cs="Times New Roman"/>
          <w:bCs/>
        </w:rPr>
      </w:pPr>
      <w:r w:rsidRPr="00FB6053">
        <w:rPr>
          <w:rFonts w:ascii="Gill Sans MT" w:hAnsi="Gill Sans MT" w:cs="Times New Roman"/>
          <w:bCs/>
        </w:rPr>
        <w:t xml:space="preserve">No </w:t>
      </w:r>
      <w:r w:rsidR="00DD5E00">
        <w:rPr>
          <w:rFonts w:ascii="Gill Sans MT" w:hAnsi="Gill Sans MT" w:cs="Times New Roman"/>
          <w:bCs/>
        </w:rPr>
        <w:t>setor</w:t>
      </w:r>
      <w:r w:rsidR="00DD5E00" w:rsidRPr="00FB6053">
        <w:rPr>
          <w:rFonts w:ascii="Gill Sans MT" w:hAnsi="Gill Sans MT" w:cs="Times New Roman"/>
          <w:bCs/>
        </w:rPr>
        <w:t xml:space="preserve"> </w:t>
      </w:r>
      <w:r w:rsidRPr="00FB6053">
        <w:rPr>
          <w:rFonts w:ascii="Gill Sans MT" w:hAnsi="Gill Sans MT" w:cs="Times New Roman"/>
          <w:bCs/>
        </w:rPr>
        <w:t xml:space="preserve">externo, os dados da Direção Geral das Alfandegas mostram que, no </w:t>
      </w:r>
      <w:r w:rsidR="0036719D">
        <w:rPr>
          <w:rFonts w:ascii="Gill Sans MT" w:hAnsi="Gill Sans MT" w:cs="Times New Roman"/>
          <w:bCs/>
        </w:rPr>
        <w:t>IV</w:t>
      </w:r>
      <w:r w:rsidR="0036719D" w:rsidRPr="00FB6053">
        <w:rPr>
          <w:rFonts w:ascii="Gill Sans MT" w:hAnsi="Gill Sans MT" w:cs="Times New Roman"/>
          <w:bCs/>
        </w:rPr>
        <w:t xml:space="preserve"> </w:t>
      </w:r>
      <w:r w:rsidR="0036719D">
        <w:rPr>
          <w:rFonts w:ascii="Gill Sans MT" w:hAnsi="Gill Sans MT" w:cs="Times New Roman"/>
          <w:bCs/>
        </w:rPr>
        <w:t>T</w:t>
      </w:r>
      <w:r w:rsidR="0036719D" w:rsidRPr="00FB6053">
        <w:rPr>
          <w:rFonts w:ascii="Gill Sans MT" w:hAnsi="Gill Sans MT" w:cs="Times New Roman"/>
          <w:bCs/>
        </w:rPr>
        <w:t xml:space="preserve">rimestre </w:t>
      </w:r>
      <w:r w:rsidRPr="00FB6053">
        <w:rPr>
          <w:rFonts w:ascii="Gill Sans MT" w:hAnsi="Gill Sans MT" w:cs="Times New Roman"/>
          <w:bCs/>
        </w:rPr>
        <w:t xml:space="preserve">de 2020 registou-se uma melhoria na balança comercial de bens </w:t>
      </w:r>
      <w:r w:rsidR="00EF6E9B">
        <w:rPr>
          <w:rFonts w:ascii="Gill Sans MT" w:hAnsi="Gill Sans MT" w:cs="Times New Roman"/>
          <w:bCs/>
        </w:rPr>
        <w:t xml:space="preserve">na ordem </w:t>
      </w:r>
      <w:r w:rsidRPr="00FB6053">
        <w:rPr>
          <w:rFonts w:ascii="Gill Sans MT" w:hAnsi="Gill Sans MT" w:cs="Times New Roman"/>
          <w:bCs/>
        </w:rPr>
        <w:t xml:space="preserve">de 15,4%, refletindo o bom desempenho das exportações. As exportações de bens aumentaram 5,1% em valor e 54,7% em volume face ao período homólogo, tendo os produtos do mar </w:t>
      </w:r>
      <w:r w:rsidR="007B4791">
        <w:rPr>
          <w:rFonts w:ascii="Gill Sans MT" w:hAnsi="Gill Sans MT" w:cs="Times New Roman"/>
          <w:bCs/>
        </w:rPr>
        <w:t xml:space="preserve">(o maior componente) </w:t>
      </w:r>
      <w:r w:rsidRPr="00FB6053">
        <w:rPr>
          <w:rFonts w:ascii="Gill Sans MT" w:hAnsi="Gill Sans MT" w:cs="Times New Roman"/>
          <w:bCs/>
        </w:rPr>
        <w:t>crescido 10,7% e 51,3%, em valor e volume, respetivamente, sobretudo de peixe enlatado e congelado.</w:t>
      </w:r>
    </w:p>
    <w:p w14:paraId="7EAA2C94" w14:textId="77777777" w:rsidR="00C36DF1" w:rsidRDefault="00C36DF1" w:rsidP="0059546D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621F61D2" w14:textId="77777777" w:rsidR="00C36DF1" w:rsidRDefault="00C36DF1" w:rsidP="0059546D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7AEC288C" w14:textId="77777777" w:rsidR="00C36DF1" w:rsidRDefault="00C36DF1" w:rsidP="0059546D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72A63FA9" w14:textId="77777777" w:rsidR="00C36DF1" w:rsidRDefault="00C36DF1" w:rsidP="0059546D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1AE9E99B" w14:textId="77777777" w:rsidR="00C36DF1" w:rsidRDefault="00C36DF1" w:rsidP="0059546D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1217FCD9" w14:textId="6FB20154" w:rsidR="00CF0F0D" w:rsidRDefault="00CF0F0D" w:rsidP="0059546D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 xml:space="preserve">Gráfico </w:t>
      </w:r>
      <w:r w:rsidR="00105A2D">
        <w:rPr>
          <w:rFonts w:ascii="Gill Sans MT" w:eastAsia="Calibri" w:hAnsi="Gill Sans MT" w:cs="Times New Roman"/>
          <w:b/>
          <w:bCs/>
        </w:rPr>
        <w:t>9</w:t>
      </w:r>
      <w:r>
        <w:rPr>
          <w:rFonts w:ascii="Gill Sans MT" w:eastAsia="Calibri" w:hAnsi="Gill Sans MT" w:cs="Times New Roman"/>
          <w:b/>
          <w:bCs/>
        </w:rPr>
        <w:t xml:space="preserve"> – Evolução do Comércio Externo </w:t>
      </w:r>
    </w:p>
    <w:p w14:paraId="3D4BDE3C" w14:textId="30FEC9CF" w:rsidR="00CF0F0D" w:rsidRDefault="00144D16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144D16">
        <w:rPr>
          <w:noProof/>
          <w:lang w:eastAsia="pt-PT"/>
        </w:rPr>
        <w:lastRenderedPageBreak/>
        <w:drawing>
          <wp:inline distT="0" distB="0" distL="0" distR="0" wp14:anchorId="01AEFE26" wp14:editId="61C8D732">
            <wp:extent cx="4828032" cy="192942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72" cy="19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6FA0" w14:textId="77777777" w:rsidR="00CF0F0D" w:rsidRDefault="00CF0F0D" w:rsidP="00CF0F0D">
      <w:pPr>
        <w:spacing w:after="0" w:line="240" w:lineRule="auto"/>
        <w:jc w:val="center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</w:t>
      </w:r>
    </w:p>
    <w:p w14:paraId="735C2011" w14:textId="77777777" w:rsidR="00CF0F0D" w:rsidRDefault="00CF0F0D" w:rsidP="00CF0F0D">
      <w:pPr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Fonte: </w:t>
      </w:r>
      <w:r>
        <w:rPr>
          <w:rFonts w:ascii="Gill Sans MT" w:hAnsi="Gill Sans MT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Direção Geral das Alfândegas, cálculos SPAME/DNP.</w:t>
      </w:r>
    </w:p>
    <w:p w14:paraId="30472F4D" w14:textId="6422B006" w:rsidR="00CF0F0D" w:rsidRDefault="00CF0F0D" w:rsidP="00CF0F0D">
      <w:pPr>
        <w:spacing w:line="360" w:lineRule="auto"/>
        <w:jc w:val="both"/>
        <w:rPr>
          <w:rFonts w:ascii="Gill Sans MT" w:hAnsi="Gill Sans MT" w:cs="Arial"/>
          <w:bCs/>
        </w:rPr>
      </w:pPr>
    </w:p>
    <w:p w14:paraId="03C502CC" w14:textId="02D0CD31" w:rsidR="0058757D" w:rsidRPr="0058757D" w:rsidRDefault="00B51D49" w:rsidP="0058757D">
      <w:pPr>
        <w:spacing w:line="360" w:lineRule="auto"/>
        <w:jc w:val="both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>Inversamente</w:t>
      </w:r>
      <w:r w:rsidR="0058757D" w:rsidRPr="0058757D">
        <w:rPr>
          <w:rFonts w:ascii="Gill Sans MT" w:hAnsi="Gill Sans MT" w:cs="Times New Roman"/>
          <w:bCs/>
        </w:rPr>
        <w:t>, as importações de bens diminuíram em valor e em volume 13,9% e 6,1%, respetivamente, derivado das performances dos bens de consumo (-26,7% e -16,5% em valor e em volume, respetivamente) e dos combustíveis (-42,9% em valor e -22,5% em volume). Os bens de capital aumentaram em valor e em volume 34,2% e 35,1%, respetivamente, sinalizando para a continua da dinâmica dos investimentos e os bons resultados da construção.</w:t>
      </w:r>
    </w:p>
    <w:p w14:paraId="225AE432" w14:textId="624613A4" w:rsidR="007B7ED2" w:rsidRPr="00EF1398" w:rsidRDefault="007B4791" w:rsidP="00D82AC0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Ainda no plano externo, o</w:t>
      </w:r>
      <w:r w:rsidRPr="000F023C">
        <w:rPr>
          <w:rFonts w:ascii="Gill Sans MT" w:hAnsi="Gill Sans MT" w:cs="Arial"/>
          <w:bCs/>
        </w:rPr>
        <w:t xml:space="preserve"> </w:t>
      </w:r>
      <w:r w:rsidR="00CF0F0D" w:rsidRPr="000F023C">
        <w:rPr>
          <w:rFonts w:ascii="Gill Sans MT" w:hAnsi="Gill Sans MT" w:cs="Arial"/>
          <w:bCs/>
        </w:rPr>
        <w:t xml:space="preserve">Índice de Preços do Comércio Externo publicado pelo </w:t>
      </w:r>
      <w:r w:rsidR="00FD1B09" w:rsidRPr="000F023C">
        <w:rPr>
          <w:rFonts w:ascii="Gill Sans MT" w:hAnsi="Gill Sans MT" w:cs="Arial"/>
          <w:bCs/>
        </w:rPr>
        <w:t>INE</w:t>
      </w:r>
      <w:r w:rsidR="00CF0F0D" w:rsidRPr="000F023C">
        <w:rPr>
          <w:rFonts w:ascii="Gill Sans MT" w:hAnsi="Gill Sans MT" w:cs="Arial"/>
          <w:bCs/>
        </w:rPr>
        <w:t xml:space="preserve">, </w:t>
      </w:r>
      <w:r w:rsidR="00F92DE2" w:rsidRPr="000F023C">
        <w:rPr>
          <w:rFonts w:ascii="Gill Sans MT" w:hAnsi="Gill Sans MT" w:cs="Arial"/>
          <w:bCs/>
        </w:rPr>
        <w:t>no</w:t>
      </w:r>
      <w:r w:rsidR="00CF0F0D" w:rsidRPr="000F023C">
        <w:rPr>
          <w:rFonts w:ascii="Gill Sans MT" w:hAnsi="Gill Sans MT" w:cs="Arial"/>
          <w:bCs/>
        </w:rPr>
        <w:t xml:space="preserve"> </w:t>
      </w:r>
      <w:r w:rsidR="0036719D">
        <w:rPr>
          <w:rFonts w:ascii="Gill Sans MT" w:hAnsi="Gill Sans MT" w:cs="Arial"/>
          <w:bCs/>
        </w:rPr>
        <w:t>IV</w:t>
      </w:r>
      <w:r w:rsidR="0036719D" w:rsidRPr="000F023C">
        <w:rPr>
          <w:rFonts w:ascii="Gill Sans MT" w:hAnsi="Gill Sans MT" w:cs="Arial"/>
          <w:bCs/>
        </w:rPr>
        <w:t xml:space="preserve"> </w:t>
      </w:r>
      <w:r w:rsidR="00CF0F0D" w:rsidRPr="000F023C">
        <w:rPr>
          <w:rFonts w:ascii="Gill Sans MT" w:hAnsi="Gill Sans MT" w:cs="Arial"/>
          <w:bCs/>
        </w:rPr>
        <w:t xml:space="preserve">Trimestre mostra que os preços dos produtos importados </w:t>
      </w:r>
      <w:r w:rsidR="008466F5" w:rsidRPr="000F023C">
        <w:rPr>
          <w:rFonts w:ascii="Gill Sans MT" w:hAnsi="Gill Sans MT" w:cs="Arial"/>
          <w:bCs/>
        </w:rPr>
        <w:t>diminuíram</w:t>
      </w:r>
      <w:r w:rsidR="00CF0F0D" w:rsidRPr="000F023C">
        <w:rPr>
          <w:rFonts w:ascii="Gill Sans MT" w:hAnsi="Gill Sans MT" w:cs="Arial"/>
          <w:bCs/>
        </w:rPr>
        <w:t xml:space="preserve"> </w:t>
      </w:r>
      <w:r w:rsidR="001D1FAE" w:rsidRPr="000F023C">
        <w:rPr>
          <w:rFonts w:ascii="Gill Sans MT" w:hAnsi="Gill Sans MT" w:cs="Arial"/>
          <w:bCs/>
        </w:rPr>
        <w:t>10</w:t>
      </w:r>
      <w:r w:rsidR="00CF0F0D" w:rsidRPr="000F023C">
        <w:rPr>
          <w:rFonts w:ascii="Gill Sans MT" w:hAnsi="Gill Sans MT" w:cs="Arial"/>
          <w:bCs/>
        </w:rPr>
        <w:t>,</w:t>
      </w:r>
      <w:r w:rsidR="00D76E51">
        <w:rPr>
          <w:rFonts w:ascii="Gill Sans MT" w:hAnsi="Gill Sans MT" w:cs="Arial"/>
          <w:bCs/>
        </w:rPr>
        <w:t>8</w:t>
      </w:r>
      <w:r w:rsidR="00CF0F0D" w:rsidRPr="000F023C">
        <w:rPr>
          <w:rFonts w:ascii="Gill Sans MT" w:hAnsi="Gill Sans MT" w:cs="Arial"/>
          <w:bCs/>
        </w:rPr>
        <w:t>%</w:t>
      </w:r>
      <w:r w:rsidR="008472D0" w:rsidRPr="000F023C">
        <w:rPr>
          <w:rFonts w:ascii="Gill Sans MT" w:hAnsi="Gill Sans MT" w:cs="Arial"/>
          <w:bCs/>
        </w:rPr>
        <w:t>,</w:t>
      </w:r>
      <w:r w:rsidR="00B5637C" w:rsidRPr="000F023C">
        <w:rPr>
          <w:rFonts w:ascii="Gill Sans MT" w:hAnsi="Gill Sans MT" w:cs="Arial"/>
          <w:bCs/>
        </w:rPr>
        <w:t xml:space="preserve"> </w:t>
      </w:r>
      <w:r w:rsidR="008472D0" w:rsidRPr="000F023C">
        <w:rPr>
          <w:rFonts w:ascii="Gill Sans MT" w:hAnsi="Gill Sans MT" w:cs="Arial"/>
          <w:bCs/>
        </w:rPr>
        <w:t>comparativamente</w:t>
      </w:r>
      <w:r w:rsidR="00CF0F0D" w:rsidRPr="000F023C">
        <w:rPr>
          <w:rFonts w:ascii="Gill Sans MT" w:hAnsi="Gill Sans MT" w:cs="Arial"/>
          <w:bCs/>
        </w:rPr>
        <w:t xml:space="preserve"> </w:t>
      </w:r>
      <w:r w:rsidR="008472D0" w:rsidRPr="000F023C">
        <w:rPr>
          <w:rFonts w:ascii="Gill Sans MT" w:hAnsi="Gill Sans MT" w:cs="Arial"/>
          <w:bCs/>
        </w:rPr>
        <w:t>a</w:t>
      </w:r>
      <w:r w:rsidR="00CF0F0D" w:rsidRPr="000F023C">
        <w:rPr>
          <w:rFonts w:ascii="Gill Sans MT" w:hAnsi="Gill Sans MT" w:cs="Arial"/>
          <w:bCs/>
        </w:rPr>
        <w:t xml:space="preserve">o período homólogo. </w:t>
      </w:r>
      <w:r w:rsidR="0053158B" w:rsidRPr="00EF1398">
        <w:rPr>
          <w:rFonts w:ascii="Gill Sans MT" w:hAnsi="Gill Sans MT" w:cs="Arial"/>
          <w:bCs/>
        </w:rPr>
        <w:t>Este resultado</w:t>
      </w:r>
      <w:r w:rsidR="00CF0F0D" w:rsidRPr="00EF1398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traduz</w:t>
      </w:r>
      <w:r w:rsidRPr="00EF1398">
        <w:rPr>
          <w:rFonts w:ascii="Gill Sans MT" w:hAnsi="Gill Sans MT" w:cs="Arial"/>
          <w:bCs/>
        </w:rPr>
        <w:t xml:space="preserve"> </w:t>
      </w:r>
      <w:r w:rsidR="008466F5" w:rsidRPr="00EF1398">
        <w:rPr>
          <w:rFonts w:ascii="Gill Sans MT" w:hAnsi="Gill Sans MT" w:cs="Arial"/>
          <w:bCs/>
        </w:rPr>
        <w:t>a queda</w:t>
      </w:r>
      <w:r w:rsidR="00CF0F0D" w:rsidRPr="00EF1398">
        <w:rPr>
          <w:rFonts w:ascii="Gill Sans MT" w:hAnsi="Gill Sans MT" w:cs="Arial"/>
          <w:bCs/>
        </w:rPr>
        <w:t xml:space="preserve"> dos</w:t>
      </w:r>
      <w:r w:rsidR="008466F5" w:rsidRPr="00EF1398">
        <w:rPr>
          <w:rFonts w:ascii="Gill Sans MT" w:hAnsi="Gill Sans MT" w:cs="Arial"/>
          <w:bCs/>
        </w:rPr>
        <w:t xml:space="preserve"> </w:t>
      </w:r>
      <w:r w:rsidR="00CF0F0D" w:rsidRPr="00EF1398">
        <w:rPr>
          <w:rFonts w:ascii="Gill Sans MT" w:hAnsi="Gill Sans MT" w:cs="Arial"/>
          <w:bCs/>
        </w:rPr>
        <w:t>preços dos</w:t>
      </w:r>
      <w:r w:rsidR="008466F5" w:rsidRPr="00EF1398">
        <w:rPr>
          <w:rFonts w:ascii="Gill Sans MT" w:hAnsi="Gill Sans MT" w:cs="Arial"/>
          <w:bCs/>
        </w:rPr>
        <w:t xml:space="preserve"> combustíveis (-</w:t>
      </w:r>
      <w:r w:rsidR="001D1FAE" w:rsidRPr="00EF1398">
        <w:rPr>
          <w:rFonts w:ascii="Gill Sans MT" w:hAnsi="Gill Sans MT" w:cs="Arial"/>
          <w:bCs/>
        </w:rPr>
        <w:t>2</w:t>
      </w:r>
      <w:r w:rsidR="002B33B5" w:rsidRPr="00EF1398">
        <w:rPr>
          <w:rFonts w:ascii="Gill Sans MT" w:hAnsi="Gill Sans MT" w:cs="Arial"/>
          <w:bCs/>
        </w:rPr>
        <w:t>5</w:t>
      </w:r>
      <w:r w:rsidR="008466F5" w:rsidRPr="00EF1398">
        <w:rPr>
          <w:rFonts w:ascii="Gill Sans MT" w:hAnsi="Gill Sans MT" w:cs="Arial"/>
          <w:bCs/>
        </w:rPr>
        <w:t>,</w:t>
      </w:r>
      <w:r w:rsidR="002B33B5" w:rsidRPr="00EF1398">
        <w:rPr>
          <w:rFonts w:ascii="Gill Sans MT" w:hAnsi="Gill Sans MT" w:cs="Arial"/>
          <w:bCs/>
        </w:rPr>
        <w:t>6</w:t>
      </w:r>
      <w:r w:rsidR="008466F5" w:rsidRPr="00EF1398">
        <w:rPr>
          <w:rFonts w:ascii="Gill Sans MT" w:hAnsi="Gill Sans MT" w:cs="Arial"/>
          <w:bCs/>
        </w:rPr>
        <w:t>%)</w:t>
      </w:r>
      <w:r w:rsidR="001D1FAE" w:rsidRPr="00EF1398">
        <w:rPr>
          <w:rFonts w:ascii="Gill Sans MT" w:hAnsi="Gill Sans MT" w:cs="Arial"/>
          <w:bCs/>
        </w:rPr>
        <w:t>, dos bens intermédios (-</w:t>
      </w:r>
      <w:r w:rsidR="002B33B5" w:rsidRPr="00EF1398">
        <w:rPr>
          <w:rFonts w:ascii="Gill Sans MT" w:hAnsi="Gill Sans MT" w:cs="Arial"/>
          <w:bCs/>
        </w:rPr>
        <w:t>9</w:t>
      </w:r>
      <w:r w:rsidR="001D1FAE" w:rsidRPr="00EF1398">
        <w:rPr>
          <w:rFonts w:ascii="Gill Sans MT" w:hAnsi="Gill Sans MT" w:cs="Arial"/>
          <w:bCs/>
        </w:rPr>
        <w:t>,</w:t>
      </w:r>
      <w:r w:rsidR="002B33B5" w:rsidRPr="00EF1398">
        <w:rPr>
          <w:rFonts w:ascii="Gill Sans MT" w:hAnsi="Gill Sans MT" w:cs="Arial"/>
          <w:bCs/>
        </w:rPr>
        <w:t>9</w:t>
      </w:r>
      <w:r w:rsidR="001D1FAE" w:rsidRPr="00EF1398">
        <w:rPr>
          <w:rFonts w:ascii="Gill Sans MT" w:hAnsi="Gill Sans MT" w:cs="Arial"/>
          <w:bCs/>
        </w:rPr>
        <w:t>%)</w:t>
      </w:r>
      <w:r w:rsidR="008466F5" w:rsidRPr="00EF1398">
        <w:rPr>
          <w:rFonts w:ascii="Gill Sans MT" w:hAnsi="Gill Sans MT" w:cs="Arial"/>
          <w:bCs/>
        </w:rPr>
        <w:t xml:space="preserve"> e dos </w:t>
      </w:r>
      <w:r w:rsidR="00CF0F0D" w:rsidRPr="00EF1398">
        <w:rPr>
          <w:rFonts w:ascii="Gill Sans MT" w:hAnsi="Gill Sans MT" w:cs="Arial"/>
          <w:bCs/>
        </w:rPr>
        <w:t xml:space="preserve">bens </w:t>
      </w:r>
      <w:r w:rsidR="0053158B" w:rsidRPr="00EF1398">
        <w:rPr>
          <w:rFonts w:ascii="Gill Sans MT" w:hAnsi="Gill Sans MT" w:cs="Arial"/>
          <w:bCs/>
        </w:rPr>
        <w:t>de</w:t>
      </w:r>
      <w:r w:rsidR="001D1FAE" w:rsidRPr="00EF1398">
        <w:rPr>
          <w:rFonts w:ascii="Gill Sans MT" w:hAnsi="Gill Sans MT" w:cs="Arial"/>
          <w:bCs/>
        </w:rPr>
        <w:t xml:space="preserve"> consumo</w:t>
      </w:r>
      <w:r w:rsidR="008466F5" w:rsidRPr="00EF1398">
        <w:rPr>
          <w:rFonts w:ascii="Gill Sans MT" w:hAnsi="Gill Sans MT" w:cs="Arial"/>
          <w:bCs/>
        </w:rPr>
        <w:t xml:space="preserve"> (-</w:t>
      </w:r>
      <w:r w:rsidR="002B33B5" w:rsidRPr="00EF1398">
        <w:rPr>
          <w:rFonts w:ascii="Gill Sans MT" w:hAnsi="Gill Sans MT" w:cs="Arial"/>
          <w:bCs/>
        </w:rPr>
        <w:t>1</w:t>
      </w:r>
      <w:r w:rsidR="00CF0F0D" w:rsidRPr="00EF1398">
        <w:rPr>
          <w:rFonts w:ascii="Gill Sans MT" w:hAnsi="Gill Sans MT" w:cs="Arial"/>
          <w:bCs/>
        </w:rPr>
        <w:t>,</w:t>
      </w:r>
      <w:r w:rsidR="002B33B5" w:rsidRPr="00EF1398">
        <w:rPr>
          <w:rFonts w:ascii="Gill Sans MT" w:hAnsi="Gill Sans MT" w:cs="Arial"/>
          <w:bCs/>
        </w:rPr>
        <w:t>2</w:t>
      </w:r>
      <w:r w:rsidR="00CF0F0D" w:rsidRPr="00EF1398">
        <w:rPr>
          <w:rFonts w:ascii="Gill Sans MT" w:hAnsi="Gill Sans MT" w:cs="Arial"/>
          <w:bCs/>
        </w:rPr>
        <w:t>%)</w:t>
      </w:r>
      <w:r w:rsidR="008466F5" w:rsidRPr="00EF1398">
        <w:rPr>
          <w:rFonts w:ascii="Gill Sans MT" w:hAnsi="Gill Sans MT" w:cs="Arial"/>
          <w:bCs/>
        </w:rPr>
        <w:t>.</w:t>
      </w:r>
      <w:r w:rsidR="00CF0F0D" w:rsidRPr="00EF1398">
        <w:rPr>
          <w:rFonts w:ascii="Gill Sans MT" w:hAnsi="Gill Sans MT" w:cs="Arial"/>
          <w:bCs/>
        </w:rPr>
        <w:t xml:space="preserve"> </w:t>
      </w:r>
      <w:r w:rsidR="0036719D">
        <w:rPr>
          <w:rFonts w:ascii="Gill Sans MT" w:hAnsi="Gill Sans MT" w:cs="Arial"/>
          <w:bCs/>
        </w:rPr>
        <w:t>Por outro lado, os</w:t>
      </w:r>
      <w:r w:rsidR="0036719D" w:rsidRPr="00EF1398">
        <w:rPr>
          <w:rFonts w:ascii="Gill Sans MT" w:hAnsi="Gill Sans MT" w:cs="Arial"/>
          <w:bCs/>
        </w:rPr>
        <w:t xml:space="preserve"> </w:t>
      </w:r>
      <w:r w:rsidR="002B33B5" w:rsidRPr="00EF1398">
        <w:rPr>
          <w:rFonts w:ascii="Gill Sans MT" w:hAnsi="Gill Sans MT" w:cs="Arial"/>
          <w:bCs/>
        </w:rPr>
        <w:t>bens de capital aumentaram 5,0% no período.</w:t>
      </w:r>
    </w:p>
    <w:p w14:paraId="0B0400B0" w14:textId="58184FCB" w:rsidR="00CF0F0D" w:rsidRDefault="00CF0F0D" w:rsidP="00CF0F0D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>Gráfico 1</w:t>
      </w:r>
      <w:r w:rsidR="00105A2D">
        <w:rPr>
          <w:rFonts w:ascii="Gill Sans MT" w:eastAsia="Calibri" w:hAnsi="Gill Sans MT" w:cs="Times New Roman"/>
          <w:b/>
          <w:bCs/>
        </w:rPr>
        <w:t>0</w:t>
      </w:r>
      <w:r>
        <w:rPr>
          <w:rFonts w:ascii="Gill Sans MT" w:eastAsia="Calibri" w:hAnsi="Gill Sans MT" w:cs="Times New Roman"/>
          <w:b/>
          <w:bCs/>
        </w:rPr>
        <w:t xml:space="preserve"> – Evolução do Índice de Preço do Comércio Externo</w:t>
      </w:r>
    </w:p>
    <w:p w14:paraId="339B26E5" w14:textId="3DB14F2F" w:rsidR="00CF0F0D" w:rsidRDefault="00CF0F0D" w:rsidP="00CF0F0D">
      <w:pPr>
        <w:spacing w:after="0" w:line="240" w:lineRule="auto"/>
        <w:jc w:val="center"/>
        <w:rPr>
          <w:rFonts w:ascii="Gill Sans MT" w:hAnsi="Gill Sans MT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1B2F" w:rsidRPr="00731B2F">
        <w:rPr>
          <w:noProof/>
          <w:lang w:eastAsia="pt-PT"/>
        </w:rPr>
        <w:drawing>
          <wp:inline distT="0" distB="0" distL="0" distR="0" wp14:anchorId="05DF1892" wp14:editId="05983604">
            <wp:extent cx="4074337" cy="2118575"/>
            <wp:effectExtent l="0" t="0" r="254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00" cy="212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F98E" w14:textId="21C80D84" w:rsidR="00CF0F0D" w:rsidRPr="009701C8" w:rsidRDefault="00CF0F0D" w:rsidP="00CF0F0D">
      <w:pPr>
        <w:spacing w:after="0" w:line="240" w:lineRule="auto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="00AB1CDC">
        <w:rPr>
          <w:rFonts w:ascii="Gill Sans MT" w:eastAsia="Calibri" w:hAnsi="Gill Sans MT" w:cs="Times New Roman"/>
          <w:sz w:val="18"/>
          <w:szCs w:val="18"/>
        </w:rPr>
        <w:t>Instituto Nacional de Estatísticas.</w:t>
      </w:r>
    </w:p>
    <w:p w14:paraId="658598AC" w14:textId="77777777" w:rsidR="0059546D" w:rsidRDefault="0059546D" w:rsidP="00CF0F0D">
      <w:pPr>
        <w:spacing w:line="360" w:lineRule="auto"/>
        <w:jc w:val="both"/>
        <w:rPr>
          <w:rFonts w:ascii="Gill Sans MT" w:hAnsi="Gill Sans MT" w:cs="Arial"/>
          <w:bCs/>
        </w:rPr>
      </w:pPr>
    </w:p>
    <w:p w14:paraId="7CA3FCCA" w14:textId="413738C8" w:rsidR="005B4A44" w:rsidRPr="000F023C" w:rsidRDefault="00CF0F0D" w:rsidP="00CF0F0D">
      <w:pPr>
        <w:spacing w:line="360" w:lineRule="auto"/>
        <w:jc w:val="both"/>
        <w:rPr>
          <w:rFonts w:ascii="Gill Sans MT" w:hAnsi="Gill Sans MT" w:cs="Arial"/>
          <w:bCs/>
        </w:rPr>
      </w:pPr>
      <w:r w:rsidRPr="000F023C">
        <w:rPr>
          <w:rFonts w:ascii="Gill Sans MT" w:hAnsi="Gill Sans MT" w:cs="Arial"/>
          <w:bCs/>
        </w:rPr>
        <w:t>Os preços dos produtos exportados</w:t>
      </w:r>
      <w:r w:rsidR="00004283">
        <w:rPr>
          <w:rFonts w:ascii="Gill Sans MT" w:hAnsi="Gill Sans MT" w:cs="Arial"/>
          <w:bCs/>
        </w:rPr>
        <w:t xml:space="preserve"> tiveram uma queda menor de</w:t>
      </w:r>
      <w:r w:rsidRPr="000F023C">
        <w:rPr>
          <w:rFonts w:ascii="Gill Sans MT" w:hAnsi="Gill Sans MT" w:cs="Arial"/>
          <w:bCs/>
        </w:rPr>
        <w:t xml:space="preserve"> </w:t>
      </w:r>
      <w:r w:rsidR="00AC67D8">
        <w:rPr>
          <w:rFonts w:ascii="Gill Sans MT" w:hAnsi="Gill Sans MT" w:cs="Arial"/>
          <w:bCs/>
        </w:rPr>
        <w:t>1</w:t>
      </w:r>
      <w:r w:rsidRPr="000F023C">
        <w:rPr>
          <w:rFonts w:ascii="Gill Sans MT" w:hAnsi="Gill Sans MT" w:cs="Arial"/>
          <w:bCs/>
        </w:rPr>
        <w:t>,</w:t>
      </w:r>
      <w:r w:rsidR="00AC67D8">
        <w:rPr>
          <w:rFonts w:ascii="Gill Sans MT" w:hAnsi="Gill Sans MT" w:cs="Arial"/>
          <w:bCs/>
        </w:rPr>
        <w:t>3</w:t>
      </w:r>
      <w:r w:rsidR="008466F5" w:rsidRPr="000F023C">
        <w:rPr>
          <w:rFonts w:ascii="Gill Sans MT" w:hAnsi="Gill Sans MT" w:cs="Arial"/>
          <w:bCs/>
        </w:rPr>
        <w:t>% (-</w:t>
      </w:r>
      <w:r w:rsidR="00AC67D8">
        <w:rPr>
          <w:rFonts w:ascii="Gill Sans MT" w:hAnsi="Gill Sans MT" w:cs="Arial"/>
          <w:bCs/>
        </w:rPr>
        <w:t>5</w:t>
      </w:r>
      <w:r w:rsidR="008466F5" w:rsidRPr="000F023C">
        <w:rPr>
          <w:rFonts w:ascii="Gill Sans MT" w:hAnsi="Gill Sans MT" w:cs="Arial"/>
          <w:bCs/>
        </w:rPr>
        <w:t>,</w:t>
      </w:r>
      <w:r w:rsidR="00AC67D8">
        <w:rPr>
          <w:rFonts w:ascii="Gill Sans MT" w:hAnsi="Gill Sans MT" w:cs="Arial"/>
          <w:bCs/>
        </w:rPr>
        <w:t>4</w:t>
      </w:r>
      <w:r w:rsidR="008466F5" w:rsidRPr="000F023C">
        <w:rPr>
          <w:rFonts w:ascii="Gill Sans MT" w:hAnsi="Gill Sans MT" w:cs="Arial"/>
          <w:bCs/>
        </w:rPr>
        <w:t xml:space="preserve">% no </w:t>
      </w:r>
      <w:r w:rsidR="00D110E8" w:rsidRPr="000F023C">
        <w:rPr>
          <w:rFonts w:ascii="Gill Sans MT" w:hAnsi="Gill Sans MT" w:cs="Arial"/>
          <w:bCs/>
        </w:rPr>
        <w:t>período homólogo</w:t>
      </w:r>
      <w:r w:rsidR="008466F5" w:rsidRPr="000F023C">
        <w:rPr>
          <w:rFonts w:ascii="Gill Sans MT" w:hAnsi="Gill Sans MT" w:cs="Arial"/>
          <w:bCs/>
        </w:rPr>
        <w:t>)</w:t>
      </w:r>
      <w:r w:rsidRPr="000F023C">
        <w:rPr>
          <w:rFonts w:ascii="Gill Sans MT" w:hAnsi="Gill Sans MT" w:cs="Arial"/>
          <w:bCs/>
        </w:rPr>
        <w:t xml:space="preserve">. Nesse sentido, a taxa de variação trimestral registada pelo índice de Termos de Troca foi de </w:t>
      </w:r>
      <w:r w:rsidR="00D110E8" w:rsidRPr="000F023C">
        <w:rPr>
          <w:rFonts w:ascii="Gill Sans MT" w:hAnsi="Gill Sans MT" w:cs="Arial"/>
          <w:bCs/>
        </w:rPr>
        <w:t>1</w:t>
      </w:r>
      <w:r w:rsidR="00AC67D8">
        <w:rPr>
          <w:rFonts w:ascii="Gill Sans MT" w:hAnsi="Gill Sans MT" w:cs="Arial"/>
          <w:bCs/>
        </w:rPr>
        <w:t>6</w:t>
      </w:r>
      <w:r w:rsidRPr="000F023C">
        <w:rPr>
          <w:rFonts w:ascii="Gill Sans MT" w:hAnsi="Gill Sans MT" w:cs="Arial"/>
          <w:bCs/>
        </w:rPr>
        <w:t>,</w:t>
      </w:r>
      <w:r w:rsidR="00AC67D8">
        <w:rPr>
          <w:rFonts w:ascii="Gill Sans MT" w:hAnsi="Gill Sans MT" w:cs="Arial"/>
          <w:bCs/>
        </w:rPr>
        <w:t>2</w:t>
      </w:r>
      <w:r w:rsidRPr="000F023C">
        <w:rPr>
          <w:rFonts w:ascii="Gill Sans MT" w:hAnsi="Gill Sans MT" w:cs="Arial"/>
          <w:bCs/>
        </w:rPr>
        <w:t xml:space="preserve">%, </w:t>
      </w:r>
      <w:r w:rsidR="008658E1">
        <w:rPr>
          <w:rFonts w:ascii="Gill Sans MT" w:hAnsi="Gill Sans MT" w:cs="Arial"/>
          <w:bCs/>
        </w:rPr>
        <w:t>sinalizando</w:t>
      </w:r>
      <w:r w:rsidR="008658E1" w:rsidRPr="000F023C">
        <w:rPr>
          <w:rFonts w:ascii="Gill Sans MT" w:hAnsi="Gill Sans MT" w:cs="Arial"/>
          <w:bCs/>
        </w:rPr>
        <w:t xml:space="preserve"> </w:t>
      </w:r>
      <w:r w:rsidR="008466F5" w:rsidRPr="000F023C">
        <w:rPr>
          <w:rFonts w:ascii="Gill Sans MT" w:hAnsi="Gill Sans MT" w:cs="Arial"/>
          <w:bCs/>
        </w:rPr>
        <w:t xml:space="preserve">uma melhoria </w:t>
      </w:r>
      <w:r w:rsidR="00EF6E9B">
        <w:rPr>
          <w:rFonts w:ascii="Gill Sans MT" w:hAnsi="Gill Sans MT" w:cs="Arial"/>
          <w:bCs/>
        </w:rPr>
        <w:t>neste indicador</w:t>
      </w:r>
      <w:r w:rsidRPr="000F023C">
        <w:rPr>
          <w:rFonts w:ascii="Gill Sans MT" w:hAnsi="Gill Sans MT" w:cs="Arial"/>
          <w:bCs/>
        </w:rPr>
        <w:t>.</w:t>
      </w:r>
    </w:p>
    <w:p w14:paraId="27300285" w14:textId="2D57945B" w:rsidR="005B4A44" w:rsidRDefault="005B4A44" w:rsidP="007B7ED2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lastRenderedPageBreak/>
        <w:t>Gráfico 1</w:t>
      </w:r>
      <w:r w:rsidR="00105A2D">
        <w:rPr>
          <w:rFonts w:ascii="Gill Sans MT" w:eastAsia="Calibri" w:hAnsi="Gill Sans MT" w:cs="Times New Roman"/>
          <w:b/>
          <w:bCs/>
        </w:rPr>
        <w:t>1</w:t>
      </w:r>
      <w:r>
        <w:rPr>
          <w:rFonts w:ascii="Gill Sans MT" w:eastAsia="Calibri" w:hAnsi="Gill Sans MT" w:cs="Times New Roman"/>
          <w:b/>
          <w:bCs/>
        </w:rPr>
        <w:t xml:space="preserve"> – Evolução d</w:t>
      </w:r>
      <w:r w:rsidR="00DA264F">
        <w:rPr>
          <w:rFonts w:ascii="Gill Sans MT" w:eastAsia="Calibri" w:hAnsi="Gill Sans MT" w:cs="Times New Roman"/>
          <w:b/>
          <w:bCs/>
        </w:rPr>
        <w:t>a Taxa de Câmbio</w:t>
      </w:r>
      <w:r w:rsidR="00DA0B6D">
        <w:rPr>
          <w:rFonts w:ascii="Gill Sans MT" w:eastAsia="Calibri" w:hAnsi="Gill Sans MT" w:cs="Times New Roman"/>
          <w:b/>
          <w:bCs/>
        </w:rPr>
        <w:t xml:space="preserve"> Efetiva Real</w:t>
      </w:r>
    </w:p>
    <w:p w14:paraId="38888AD5" w14:textId="27FDBF6A" w:rsidR="005B4A44" w:rsidRDefault="00626C0F" w:rsidP="007B7ED2">
      <w:pPr>
        <w:spacing w:line="240" w:lineRule="auto"/>
        <w:jc w:val="center"/>
        <w:rPr>
          <w:rFonts w:ascii="Gill Sans MT" w:hAnsi="Gill Sans MT" w:cs="Arial"/>
          <w:bCs/>
        </w:rPr>
      </w:pPr>
      <w:r w:rsidRPr="00626C0F">
        <w:rPr>
          <w:noProof/>
          <w:lang w:eastAsia="pt-PT"/>
        </w:rPr>
        <w:drawing>
          <wp:inline distT="0" distB="0" distL="0" distR="0" wp14:anchorId="02F8EECF" wp14:editId="038409D4">
            <wp:extent cx="4151376" cy="2739340"/>
            <wp:effectExtent l="0" t="0" r="1905" b="444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50" cy="274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9628" w14:textId="77777777" w:rsidR="005B4A44" w:rsidRDefault="005B4A44" w:rsidP="007B7ED2">
      <w:pPr>
        <w:spacing w:after="0" w:line="240" w:lineRule="auto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C11C83">
        <w:rPr>
          <w:rFonts w:ascii="Gill Sans MT" w:hAnsi="Gill Sans MT" w:cs="Arial"/>
          <w:bCs/>
          <w:sz w:val="18"/>
          <w:szCs w:val="18"/>
        </w:rPr>
        <w:t>Banco de Cabo Verde</w:t>
      </w:r>
      <w:r>
        <w:rPr>
          <w:rFonts w:ascii="Gill Sans MT" w:hAnsi="Gill Sans MT" w:cs="Arial"/>
          <w:bCs/>
          <w:sz w:val="18"/>
          <w:szCs w:val="18"/>
        </w:rPr>
        <w:t>.</w:t>
      </w:r>
    </w:p>
    <w:p w14:paraId="28BC36A3" w14:textId="77777777" w:rsidR="005B4A44" w:rsidRDefault="005B4A44" w:rsidP="005B4A44">
      <w:pPr>
        <w:spacing w:line="360" w:lineRule="auto"/>
        <w:jc w:val="center"/>
        <w:rPr>
          <w:rFonts w:ascii="Gill Sans MT" w:hAnsi="Gill Sans MT" w:cs="Arial"/>
          <w:bCs/>
        </w:rPr>
      </w:pPr>
    </w:p>
    <w:p w14:paraId="0BDB388A" w14:textId="4309B13D" w:rsidR="00F52F5E" w:rsidRPr="000149BE" w:rsidRDefault="006E11F1" w:rsidP="00CF0F0D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Os </w:t>
      </w:r>
      <w:r w:rsidR="00F52F5E" w:rsidRPr="00EF21DF">
        <w:rPr>
          <w:rFonts w:ascii="Gill Sans MT" w:hAnsi="Gill Sans MT" w:cs="Arial"/>
          <w:bCs/>
        </w:rPr>
        <w:t>dados</w:t>
      </w:r>
      <w:r w:rsidR="008658E1">
        <w:rPr>
          <w:rFonts w:ascii="Gill Sans MT" w:hAnsi="Gill Sans MT" w:cs="Arial"/>
          <w:bCs/>
        </w:rPr>
        <w:t xml:space="preserve"> do mercado</w:t>
      </w:r>
      <w:r w:rsidR="00A537FD">
        <w:rPr>
          <w:rFonts w:ascii="Gill Sans MT" w:hAnsi="Gill Sans MT" w:cs="Arial"/>
          <w:bCs/>
        </w:rPr>
        <w:t xml:space="preserve"> cambial divulgados</w:t>
      </w:r>
      <w:r w:rsidR="008658E1">
        <w:rPr>
          <w:rFonts w:ascii="Gill Sans MT" w:hAnsi="Gill Sans MT" w:cs="Arial"/>
          <w:bCs/>
        </w:rPr>
        <w:t xml:space="preserve"> pelo </w:t>
      </w:r>
      <w:r w:rsidR="004A3D4C" w:rsidRPr="00EF21DF">
        <w:rPr>
          <w:rFonts w:ascii="Gill Sans MT" w:hAnsi="Gill Sans MT" w:cs="Arial"/>
          <w:bCs/>
        </w:rPr>
        <w:t xml:space="preserve">Banco </w:t>
      </w:r>
      <w:r w:rsidR="000A5CE7" w:rsidRPr="00EF21DF">
        <w:rPr>
          <w:rFonts w:ascii="Gill Sans MT" w:hAnsi="Gill Sans MT" w:cs="Arial"/>
          <w:bCs/>
        </w:rPr>
        <w:t>de Cabo Verde</w:t>
      </w:r>
      <w:r>
        <w:rPr>
          <w:rFonts w:ascii="Gill Sans MT" w:hAnsi="Gill Sans MT" w:cs="Arial"/>
          <w:bCs/>
        </w:rPr>
        <w:t xml:space="preserve"> (BCV)</w:t>
      </w:r>
      <w:r w:rsidR="00F52F5E" w:rsidRPr="00EF21DF">
        <w:rPr>
          <w:rFonts w:ascii="Gill Sans MT" w:hAnsi="Gill Sans MT" w:cs="Arial"/>
          <w:bCs/>
        </w:rPr>
        <w:t xml:space="preserve"> mostram que, em</w:t>
      </w:r>
      <w:r w:rsidR="004A3D4C" w:rsidRPr="00EF21DF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de</w:t>
      </w:r>
      <w:r w:rsidR="0097189A">
        <w:rPr>
          <w:rFonts w:ascii="Gill Sans MT" w:hAnsi="Gill Sans MT" w:cs="Arial"/>
          <w:bCs/>
        </w:rPr>
        <w:t>z</w:t>
      </w:r>
      <w:r w:rsidR="00200B55">
        <w:rPr>
          <w:rFonts w:ascii="Gill Sans MT" w:hAnsi="Gill Sans MT" w:cs="Arial"/>
          <w:bCs/>
        </w:rPr>
        <w:t>embro</w:t>
      </w:r>
      <w:r w:rsidR="00F52F5E" w:rsidRPr="00EF21DF">
        <w:rPr>
          <w:rFonts w:ascii="Gill Sans MT" w:hAnsi="Gill Sans MT" w:cs="Arial"/>
          <w:bCs/>
        </w:rPr>
        <w:t xml:space="preserve">, a taxa de câmbio efetiva real </w:t>
      </w:r>
      <w:r w:rsidR="00200B55">
        <w:rPr>
          <w:rFonts w:ascii="Gill Sans MT" w:hAnsi="Gill Sans MT" w:cs="Arial"/>
          <w:bCs/>
        </w:rPr>
        <w:t>valorizou</w:t>
      </w:r>
      <w:r w:rsidR="00F52F5E" w:rsidRPr="00EF21DF">
        <w:rPr>
          <w:rFonts w:ascii="Gill Sans MT" w:hAnsi="Gill Sans MT" w:cs="Arial"/>
          <w:bCs/>
        </w:rPr>
        <w:t xml:space="preserve"> </w:t>
      </w:r>
      <w:r w:rsidR="00200B55">
        <w:rPr>
          <w:rFonts w:ascii="Gill Sans MT" w:hAnsi="Gill Sans MT" w:cs="Arial"/>
          <w:bCs/>
        </w:rPr>
        <w:t>1</w:t>
      </w:r>
      <w:r w:rsidR="00F52F5E" w:rsidRPr="00EF21DF">
        <w:rPr>
          <w:rFonts w:ascii="Gill Sans MT" w:hAnsi="Gill Sans MT" w:cs="Arial"/>
          <w:bCs/>
        </w:rPr>
        <w:t>,</w:t>
      </w:r>
      <w:r w:rsidR="0097189A">
        <w:rPr>
          <w:rFonts w:ascii="Gill Sans MT" w:hAnsi="Gill Sans MT" w:cs="Arial"/>
          <w:bCs/>
        </w:rPr>
        <w:t>0</w:t>
      </w:r>
      <w:r w:rsidR="00F52F5E" w:rsidRPr="00EF21DF">
        <w:rPr>
          <w:rFonts w:ascii="Gill Sans MT" w:hAnsi="Gill Sans MT" w:cs="Arial"/>
          <w:bCs/>
        </w:rPr>
        <w:t xml:space="preserve">% face ao período homólogo, </w:t>
      </w:r>
      <w:r w:rsidR="00E828DE" w:rsidRPr="00EF21DF">
        <w:rPr>
          <w:rFonts w:ascii="Gill Sans MT" w:hAnsi="Gill Sans MT" w:cs="Arial"/>
          <w:bCs/>
        </w:rPr>
        <w:t>podendo</w:t>
      </w:r>
      <w:r w:rsidR="00122254">
        <w:rPr>
          <w:rFonts w:ascii="Gill Sans MT" w:hAnsi="Gill Sans MT" w:cs="Arial"/>
          <w:bCs/>
        </w:rPr>
        <w:t xml:space="preserve"> </w:t>
      </w:r>
      <w:r w:rsidR="00E828DE" w:rsidRPr="00EF21DF">
        <w:rPr>
          <w:rFonts w:ascii="Gill Sans MT" w:hAnsi="Gill Sans MT" w:cs="Arial"/>
          <w:bCs/>
        </w:rPr>
        <w:t>afetar</w:t>
      </w:r>
      <w:r w:rsidR="00041FE3" w:rsidRPr="00EF21DF">
        <w:rPr>
          <w:rFonts w:ascii="Gill Sans MT" w:hAnsi="Gill Sans MT" w:cs="Arial"/>
          <w:bCs/>
        </w:rPr>
        <w:t xml:space="preserve"> </w:t>
      </w:r>
      <w:r w:rsidR="00200B55">
        <w:rPr>
          <w:rFonts w:ascii="Gill Sans MT" w:hAnsi="Gill Sans MT" w:cs="Arial"/>
          <w:bCs/>
        </w:rPr>
        <w:t>negativamente</w:t>
      </w:r>
      <w:r w:rsidR="00E828DE" w:rsidRPr="00EF21DF">
        <w:rPr>
          <w:rFonts w:ascii="Gill Sans MT" w:hAnsi="Gill Sans MT" w:cs="Arial"/>
          <w:bCs/>
        </w:rPr>
        <w:t xml:space="preserve"> a</w:t>
      </w:r>
      <w:r w:rsidR="00F52F5E" w:rsidRPr="00EF21DF">
        <w:rPr>
          <w:rFonts w:ascii="Gill Sans MT" w:hAnsi="Gill Sans MT" w:cs="Arial"/>
          <w:bCs/>
        </w:rPr>
        <w:t xml:space="preserve"> competitividade preço</w:t>
      </w:r>
      <w:r w:rsidR="00E828DE" w:rsidRPr="00EF21DF">
        <w:rPr>
          <w:rFonts w:ascii="Gill Sans MT" w:hAnsi="Gill Sans MT" w:cs="Arial"/>
          <w:bCs/>
        </w:rPr>
        <w:t xml:space="preserve"> do país</w:t>
      </w:r>
      <w:r w:rsidR="00F52F5E" w:rsidRPr="00EF21DF">
        <w:rPr>
          <w:rFonts w:ascii="Gill Sans MT" w:hAnsi="Gill Sans MT" w:cs="Arial"/>
          <w:bCs/>
        </w:rPr>
        <w:t xml:space="preserve">. </w:t>
      </w:r>
      <w:r w:rsidR="00182563" w:rsidRPr="000149BE">
        <w:rPr>
          <w:rFonts w:ascii="Gill Sans MT" w:hAnsi="Gill Sans MT" w:cs="Arial"/>
          <w:bCs/>
        </w:rPr>
        <w:t>N</w:t>
      </w:r>
      <w:r w:rsidR="00C73FF2" w:rsidRPr="000149BE">
        <w:rPr>
          <w:rFonts w:ascii="Gill Sans MT" w:hAnsi="Gill Sans MT" w:cs="Arial"/>
          <w:bCs/>
        </w:rPr>
        <w:t xml:space="preserve">o mesmo período, </w:t>
      </w:r>
      <w:r w:rsidR="00182563" w:rsidRPr="000149BE">
        <w:rPr>
          <w:rFonts w:ascii="Gill Sans MT" w:hAnsi="Gill Sans MT" w:cs="Arial"/>
          <w:bCs/>
        </w:rPr>
        <w:t xml:space="preserve">o Dólar custava em média </w:t>
      </w:r>
      <w:r w:rsidR="00C775EF" w:rsidRPr="000149BE">
        <w:rPr>
          <w:rFonts w:ascii="Gill Sans MT" w:hAnsi="Gill Sans MT" w:cs="Arial"/>
          <w:bCs/>
        </w:rPr>
        <w:t>9</w:t>
      </w:r>
      <w:r w:rsidR="00106D77">
        <w:rPr>
          <w:rFonts w:ascii="Gill Sans MT" w:hAnsi="Gill Sans MT" w:cs="Arial"/>
          <w:bCs/>
        </w:rPr>
        <w:t>0</w:t>
      </w:r>
      <w:r w:rsidR="00182563" w:rsidRPr="000149BE">
        <w:rPr>
          <w:rFonts w:ascii="Gill Sans MT" w:hAnsi="Gill Sans MT" w:cs="Arial"/>
          <w:bCs/>
        </w:rPr>
        <w:t>,</w:t>
      </w:r>
      <w:r w:rsidR="00106D77">
        <w:rPr>
          <w:rFonts w:ascii="Gill Sans MT" w:hAnsi="Gill Sans MT" w:cs="Arial"/>
          <w:bCs/>
        </w:rPr>
        <w:t>7</w:t>
      </w:r>
      <w:r w:rsidR="00182563" w:rsidRPr="000149BE">
        <w:rPr>
          <w:rFonts w:ascii="Gill Sans MT" w:hAnsi="Gill Sans MT" w:cs="Arial"/>
          <w:bCs/>
        </w:rPr>
        <w:t xml:space="preserve"> Escudos</w:t>
      </w:r>
      <w:r w:rsidR="00CF4900" w:rsidRPr="000149BE">
        <w:rPr>
          <w:rFonts w:ascii="Gill Sans MT" w:hAnsi="Gill Sans MT" w:cs="Arial"/>
          <w:bCs/>
        </w:rPr>
        <w:t xml:space="preserve"> (</w:t>
      </w:r>
      <w:r w:rsidR="00106D77">
        <w:rPr>
          <w:rFonts w:ascii="Gill Sans MT" w:hAnsi="Gill Sans MT" w:cs="Arial"/>
          <w:bCs/>
        </w:rPr>
        <w:t>99</w:t>
      </w:r>
      <w:r w:rsidR="00CF4900" w:rsidRPr="000149BE">
        <w:rPr>
          <w:rFonts w:ascii="Gill Sans MT" w:hAnsi="Gill Sans MT" w:cs="Arial"/>
          <w:bCs/>
        </w:rPr>
        <w:t>,</w:t>
      </w:r>
      <w:r w:rsidR="00106D77">
        <w:rPr>
          <w:rFonts w:ascii="Gill Sans MT" w:hAnsi="Gill Sans MT" w:cs="Arial"/>
          <w:bCs/>
        </w:rPr>
        <w:t>3</w:t>
      </w:r>
      <w:r w:rsidR="00CF4900" w:rsidRPr="000149BE">
        <w:rPr>
          <w:rFonts w:ascii="Gill Sans MT" w:hAnsi="Gill Sans MT" w:cs="Arial"/>
          <w:bCs/>
        </w:rPr>
        <w:t xml:space="preserve"> Escudos em </w:t>
      </w:r>
      <w:r w:rsidR="00B83F85">
        <w:rPr>
          <w:rFonts w:ascii="Gill Sans MT" w:hAnsi="Gill Sans MT" w:cs="Arial"/>
          <w:bCs/>
        </w:rPr>
        <w:t>dez</w:t>
      </w:r>
      <w:r w:rsidR="00B72CAF">
        <w:rPr>
          <w:rFonts w:ascii="Gill Sans MT" w:hAnsi="Gill Sans MT" w:cs="Arial"/>
          <w:bCs/>
        </w:rPr>
        <w:t>embro</w:t>
      </w:r>
      <w:r w:rsidR="00CF4900" w:rsidRPr="000149BE">
        <w:rPr>
          <w:rFonts w:ascii="Gill Sans MT" w:hAnsi="Gill Sans MT" w:cs="Arial"/>
          <w:bCs/>
        </w:rPr>
        <w:t xml:space="preserve"> de 20</w:t>
      </w:r>
      <w:r w:rsidR="00C775EF" w:rsidRPr="000149BE">
        <w:rPr>
          <w:rFonts w:ascii="Gill Sans MT" w:hAnsi="Gill Sans MT" w:cs="Arial"/>
          <w:bCs/>
        </w:rPr>
        <w:t>19</w:t>
      </w:r>
      <w:r w:rsidR="00CF4900" w:rsidRPr="000149BE">
        <w:rPr>
          <w:rFonts w:ascii="Gill Sans MT" w:hAnsi="Gill Sans MT" w:cs="Arial"/>
          <w:bCs/>
        </w:rPr>
        <w:t>).</w:t>
      </w:r>
    </w:p>
    <w:p w14:paraId="269F88D9" w14:textId="0AFE7387" w:rsidR="006E2F0E" w:rsidRDefault="006E2F0E" w:rsidP="002C24D7">
      <w:pPr>
        <w:spacing w:line="360" w:lineRule="auto"/>
        <w:jc w:val="both"/>
        <w:rPr>
          <w:rFonts w:ascii="Gill Sans MT" w:hAnsi="Gill Sans MT" w:cs="Arial"/>
          <w:bCs/>
        </w:rPr>
      </w:pPr>
    </w:p>
    <w:p w14:paraId="2D9D2608" w14:textId="2CEE44F0" w:rsidR="006E2F0E" w:rsidRDefault="006E2F0E" w:rsidP="006E2F0E">
      <w:pPr>
        <w:pStyle w:val="PargrafodaLista"/>
        <w:spacing w:line="600" w:lineRule="auto"/>
        <w:ind w:left="0" w:firstLine="709"/>
        <w:jc w:val="both"/>
        <w:outlineLvl w:val="1"/>
        <w:rPr>
          <w:rFonts w:ascii="Gill Sans MT" w:hAnsi="Gill Sans MT"/>
          <w:bCs/>
          <w:sz w:val="22"/>
          <w:szCs w:val="22"/>
        </w:rPr>
      </w:pPr>
      <w:bookmarkStart w:id="8" w:name="_Toc65659057"/>
      <w:r>
        <w:rPr>
          <w:rFonts w:ascii="Gill Sans MT" w:eastAsiaTheme="minorHAnsi" w:hAnsi="Gill Sans MT" w:cs="Arial"/>
          <w:b/>
          <w:bCs/>
          <w:sz w:val="22"/>
          <w:szCs w:val="22"/>
        </w:rPr>
        <w:t>II.</w:t>
      </w:r>
      <w:r w:rsidR="006E1B2E">
        <w:rPr>
          <w:rFonts w:ascii="Gill Sans MT" w:eastAsiaTheme="minorHAnsi" w:hAnsi="Gill Sans MT" w:cs="Arial"/>
          <w:b/>
          <w:bCs/>
          <w:sz w:val="22"/>
          <w:szCs w:val="22"/>
        </w:rPr>
        <w:t>3</w:t>
      </w:r>
      <w:r>
        <w:rPr>
          <w:rFonts w:ascii="Gill Sans MT" w:eastAsiaTheme="minorHAnsi" w:hAnsi="Gill Sans MT" w:cs="Arial"/>
          <w:b/>
          <w:bCs/>
          <w:sz w:val="22"/>
          <w:szCs w:val="22"/>
        </w:rPr>
        <w:t>. Finanças Públicas</w:t>
      </w:r>
      <w:bookmarkEnd w:id="8"/>
    </w:p>
    <w:p w14:paraId="750EBD46" w14:textId="1800CD51" w:rsidR="006632AB" w:rsidRPr="00665A7B" w:rsidRDefault="00476C27" w:rsidP="006E2F0E">
      <w:pPr>
        <w:spacing w:line="360" w:lineRule="auto"/>
        <w:jc w:val="both"/>
        <w:rPr>
          <w:rFonts w:ascii="Gill Sans MT" w:hAnsi="Gill Sans MT" w:cs="Arial"/>
          <w:bCs/>
        </w:rPr>
      </w:pPr>
      <w:r w:rsidRPr="00665A7B">
        <w:rPr>
          <w:rFonts w:ascii="Gill Sans MT" w:hAnsi="Gill Sans MT" w:cs="Arial"/>
          <w:bCs/>
        </w:rPr>
        <w:t>Relativamente</w:t>
      </w:r>
      <w:r w:rsidR="001802E3" w:rsidRPr="00665A7B">
        <w:rPr>
          <w:rFonts w:ascii="Gill Sans MT" w:hAnsi="Gill Sans MT" w:cs="Arial"/>
          <w:bCs/>
        </w:rPr>
        <w:t xml:space="preserve"> </w:t>
      </w:r>
      <w:r w:rsidR="00533A99">
        <w:rPr>
          <w:rFonts w:ascii="Gill Sans MT" w:hAnsi="Gill Sans MT" w:cs="Arial"/>
          <w:bCs/>
        </w:rPr>
        <w:t>à</w:t>
      </w:r>
      <w:r w:rsidR="001802E3" w:rsidRPr="00665A7B">
        <w:rPr>
          <w:rFonts w:ascii="Gill Sans MT" w:hAnsi="Gill Sans MT" w:cs="Arial"/>
          <w:bCs/>
        </w:rPr>
        <w:t xml:space="preserve">s Finanças Públicas, </w:t>
      </w:r>
      <w:r w:rsidRPr="00665A7B">
        <w:rPr>
          <w:rFonts w:ascii="Gill Sans MT" w:hAnsi="Gill Sans MT" w:cs="Arial"/>
          <w:bCs/>
        </w:rPr>
        <w:t xml:space="preserve">no </w:t>
      </w:r>
      <w:r w:rsidR="005A3369">
        <w:rPr>
          <w:rFonts w:ascii="Gill Sans MT" w:hAnsi="Gill Sans MT" w:cs="Arial"/>
          <w:bCs/>
        </w:rPr>
        <w:t>IV</w:t>
      </w:r>
      <w:r w:rsidR="005A3369" w:rsidRPr="00665A7B">
        <w:rPr>
          <w:rFonts w:ascii="Gill Sans MT" w:hAnsi="Gill Sans MT" w:cs="Arial"/>
          <w:bCs/>
        </w:rPr>
        <w:t xml:space="preserve"> </w:t>
      </w:r>
      <w:r w:rsidR="005A3369">
        <w:rPr>
          <w:rFonts w:ascii="Gill Sans MT" w:hAnsi="Gill Sans MT" w:cs="Arial"/>
          <w:bCs/>
        </w:rPr>
        <w:t>T</w:t>
      </w:r>
      <w:r w:rsidR="005A3369" w:rsidRPr="00665A7B">
        <w:rPr>
          <w:rFonts w:ascii="Gill Sans MT" w:hAnsi="Gill Sans MT" w:cs="Arial"/>
          <w:bCs/>
        </w:rPr>
        <w:t xml:space="preserve">rimestre </w:t>
      </w:r>
      <w:r w:rsidRPr="00665A7B">
        <w:rPr>
          <w:rFonts w:ascii="Gill Sans MT" w:hAnsi="Gill Sans MT" w:cs="Arial"/>
          <w:bCs/>
        </w:rPr>
        <w:t xml:space="preserve">de 2020 </w:t>
      </w:r>
      <w:r w:rsidR="001802E3" w:rsidRPr="00665A7B">
        <w:rPr>
          <w:rFonts w:ascii="Gill Sans MT" w:hAnsi="Gill Sans MT" w:cs="Arial"/>
          <w:bCs/>
        </w:rPr>
        <w:t xml:space="preserve">o </w:t>
      </w:r>
      <w:r w:rsidR="006E2F0E" w:rsidRPr="00665A7B">
        <w:rPr>
          <w:rFonts w:ascii="Gill Sans MT" w:hAnsi="Gill Sans MT" w:cs="Arial"/>
          <w:bCs/>
        </w:rPr>
        <w:t xml:space="preserve">défice global </w:t>
      </w:r>
      <w:r w:rsidRPr="00665A7B">
        <w:rPr>
          <w:rFonts w:ascii="Gill Sans MT" w:hAnsi="Gill Sans MT" w:cs="Arial"/>
          <w:bCs/>
        </w:rPr>
        <w:t>acelerou</w:t>
      </w:r>
      <w:r w:rsidR="00134ECE" w:rsidRPr="00665A7B">
        <w:rPr>
          <w:rFonts w:ascii="Gill Sans MT" w:hAnsi="Gill Sans MT" w:cs="Arial"/>
          <w:bCs/>
        </w:rPr>
        <w:t>, provisoriamente</w:t>
      </w:r>
      <w:r w:rsidR="00385E6E" w:rsidRPr="00665A7B">
        <w:rPr>
          <w:rFonts w:ascii="Gill Sans MT" w:hAnsi="Gill Sans MT" w:cs="Arial"/>
          <w:bCs/>
        </w:rPr>
        <w:t>, para</w:t>
      </w:r>
      <w:r w:rsidR="00134ECE" w:rsidRPr="00665A7B">
        <w:rPr>
          <w:rFonts w:ascii="Gill Sans MT" w:hAnsi="Gill Sans MT" w:cs="Arial"/>
          <w:bCs/>
        </w:rPr>
        <w:t xml:space="preserve"> </w:t>
      </w:r>
      <w:r w:rsidR="00A937A4" w:rsidRPr="00665A7B">
        <w:rPr>
          <w:rFonts w:ascii="Gill Sans MT" w:hAnsi="Gill Sans MT" w:cs="Arial"/>
          <w:bCs/>
        </w:rPr>
        <w:t>8</w:t>
      </w:r>
      <w:r w:rsidR="006E2F0E" w:rsidRPr="00665A7B">
        <w:rPr>
          <w:rFonts w:ascii="Gill Sans MT" w:hAnsi="Gill Sans MT" w:cs="Arial"/>
          <w:bCs/>
        </w:rPr>
        <w:t>,</w:t>
      </w:r>
      <w:r w:rsidR="00A937A4" w:rsidRPr="00665A7B">
        <w:rPr>
          <w:rFonts w:ascii="Gill Sans MT" w:hAnsi="Gill Sans MT" w:cs="Arial"/>
          <w:bCs/>
        </w:rPr>
        <w:t>9</w:t>
      </w:r>
      <w:r w:rsidR="006E2F0E" w:rsidRPr="00665A7B">
        <w:rPr>
          <w:rFonts w:ascii="Gill Sans MT" w:hAnsi="Gill Sans MT" w:cs="Arial"/>
          <w:bCs/>
        </w:rPr>
        <w:t>% do PIB</w:t>
      </w:r>
      <w:r w:rsidR="006909A9" w:rsidRPr="00665A7B">
        <w:rPr>
          <w:rFonts w:ascii="Gill Sans MT" w:hAnsi="Gill Sans MT" w:cs="Arial"/>
          <w:bCs/>
        </w:rPr>
        <w:t xml:space="preserve"> projetado</w:t>
      </w:r>
      <w:r w:rsidR="006E2F0E" w:rsidRPr="00665A7B">
        <w:rPr>
          <w:rFonts w:ascii="Gill Sans MT" w:hAnsi="Gill Sans MT" w:cs="Arial"/>
          <w:bCs/>
        </w:rPr>
        <w:t xml:space="preserve">, </w:t>
      </w:r>
      <w:r w:rsidR="00DF6CC4" w:rsidRPr="00665A7B">
        <w:rPr>
          <w:rFonts w:ascii="Gill Sans MT" w:hAnsi="Gill Sans MT" w:cs="Arial"/>
          <w:bCs/>
        </w:rPr>
        <w:t>incrementando</w:t>
      </w:r>
      <w:r w:rsidR="0055244D" w:rsidRPr="00665A7B">
        <w:rPr>
          <w:rFonts w:ascii="Gill Sans MT" w:hAnsi="Gill Sans MT" w:cs="Arial"/>
          <w:bCs/>
        </w:rPr>
        <w:t xml:space="preserve"> </w:t>
      </w:r>
      <w:r w:rsidR="00665A7B" w:rsidRPr="00665A7B">
        <w:rPr>
          <w:rFonts w:ascii="Gill Sans MT" w:hAnsi="Gill Sans MT" w:cs="Arial"/>
          <w:bCs/>
        </w:rPr>
        <w:t>7</w:t>
      </w:r>
      <w:r w:rsidR="0055244D" w:rsidRPr="00665A7B">
        <w:rPr>
          <w:rFonts w:ascii="Gill Sans MT" w:hAnsi="Gill Sans MT" w:cs="Arial"/>
          <w:bCs/>
        </w:rPr>
        <w:t>,</w:t>
      </w:r>
      <w:r w:rsidRPr="00665A7B">
        <w:rPr>
          <w:rFonts w:ascii="Gill Sans MT" w:hAnsi="Gill Sans MT" w:cs="Arial"/>
          <w:bCs/>
        </w:rPr>
        <w:t>0</w:t>
      </w:r>
      <w:r w:rsidR="0055244D" w:rsidRPr="00665A7B">
        <w:rPr>
          <w:rFonts w:ascii="Gill Sans MT" w:hAnsi="Gill Sans MT" w:cs="Arial"/>
          <w:bCs/>
        </w:rPr>
        <w:t xml:space="preserve"> p.p., </w:t>
      </w:r>
      <w:r w:rsidR="006909A9" w:rsidRPr="00665A7B">
        <w:rPr>
          <w:rFonts w:ascii="Gill Sans MT" w:hAnsi="Gill Sans MT" w:cs="Arial"/>
          <w:bCs/>
        </w:rPr>
        <w:t xml:space="preserve">face </w:t>
      </w:r>
      <w:r w:rsidR="0055244D" w:rsidRPr="00665A7B">
        <w:rPr>
          <w:rFonts w:ascii="Gill Sans MT" w:hAnsi="Gill Sans MT" w:cs="Arial"/>
          <w:bCs/>
        </w:rPr>
        <w:t>ao período homólogo</w:t>
      </w:r>
      <w:r w:rsidR="004653B7" w:rsidRPr="00665A7B">
        <w:rPr>
          <w:rFonts w:ascii="Gill Sans MT" w:hAnsi="Gill Sans MT" w:cs="Arial"/>
          <w:bCs/>
        </w:rPr>
        <w:t xml:space="preserve">, </w:t>
      </w:r>
      <w:r w:rsidR="005E575F">
        <w:rPr>
          <w:rFonts w:ascii="Gill Sans MT" w:hAnsi="Gill Sans MT" w:cs="Arial"/>
          <w:bCs/>
        </w:rPr>
        <w:t>derivado da contínua implementação de medidas e ações visando</w:t>
      </w:r>
      <w:r w:rsidR="00DA1E64">
        <w:rPr>
          <w:rFonts w:ascii="Gill Sans MT" w:hAnsi="Gill Sans MT" w:cs="Arial"/>
          <w:bCs/>
        </w:rPr>
        <w:t xml:space="preserve"> </w:t>
      </w:r>
      <w:r w:rsidR="004653B7" w:rsidRPr="00665A7B">
        <w:rPr>
          <w:rFonts w:ascii="Gill Sans MT" w:hAnsi="Gill Sans MT" w:cs="Arial"/>
          <w:bCs/>
        </w:rPr>
        <w:t xml:space="preserve">mitigar os efeitos socioeconómicos da </w:t>
      </w:r>
      <w:r w:rsidR="005A3369">
        <w:rPr>
          <w:rFonts w:ascii="Gill Sans MT" w:hAnsi="Gill Sans MT" w:cs="Arial"/>
          <w:bCs/>
        </w:rPr>
        <w:t xml:space="preserve">atual </w:t>
      </w:r>
      <w:r w:rsidR="004653B7" w:rsidRPr="00665A7B">
        <w:rPr>
          <w:rFonts w:ascii="Gill Sans MT" w:hAnsi="Gill Sans MT" w:cs="Arial"/>
          <w:bCs/>
        </w:rPr>
        <w:t>pandemia</w:t>
      </w:r>
      <w:r w:rsidR="00DA1E64">
        <w:rPr>
          <w:rFonts w:ascii="Gill Sans MT" w:hAnsi="Gill Sans MT" w:cs="Arial"/>
          <w:bCs/>
        </w:rPr>
        <w:t>, por parte do governo</w:t>
      </w:r>
      <w:r w:rsidR="006E2F0E" w:rsidRPr="00665A7B">
        <w:rPr>
          <w:rFonts w:ascii="Gill Sans MT" w:hAnsi="Gill Sans MT" w:cs="Arial"/>
          <w:bCs/>
        </w:rPr>
        <w:t xml:space="preserve">. </w:t>
      </w:r>
      <w:r w:rsidR="00606EAF" w:rsidRPr="00665A7B">
        <w:rPr>
          <w:rFonts w:ascii="Gill Sans MT" w:hAnsi="Gill Sans MT" w:cs="Arial"/>
          <w:bCs/>
        </w:rPr>
        <w:t>O</w:t>
      </w:r>
      <w:r w:rsidR="006E2F0E" w:rsidRPr="00665A7B">
        <w:rPr>
          <w:rFonts w:ascii="Gill Sans MT" w:hAnsi="Gill Sans MT" w:cs="Arial"/>
          <w:bCs/>
        </w:rPr>
        <w:t xml:space="preserve"> saldo corrente primário </w:t>
      </w:r>
      <w:r w:rsidR="00CE637F" w:rsidRPr="00665A7B">
        <w:rPr>
          <w:rFonts w:ascii="Gill Sans MT" w:hAnsi="Gill Sans MT" w:cs="Arial"/>
          <w:bCs/>
        </w:rPr>
        <w:t>atingiu o valor negativo de</w:t>
      </w:r>
      <w:r w:rsidR="006E2F0E" w:rsidRPr="00665A7B">
        <w:rPr>
          <w:rFonts w:ascii="Gill Sans MT" w:hAnsi="Gill Sans MT" w:cs="Arial"/>
          <w:bCs/>
        </w:rPr>
        <w:t xml:space="preserve"> </w:t>
      </w:r>
      <w:r w:rsidR="00665A7B" w:rsidRPr="00665A7B">
        <w:rPr>
          <w:rFonts w:ascii="Gill Sans MT" w:hAnsi="Gill Sans MT" w:cs="Arial"/>
          <w:bCs/>
        </w:rPr>
        <w:t>10</w:t>
      </w:r>
      <w:r w:rsidR="006E2F0E" w:rsidRPr="00665A7B">
        <w:rPr>
          <w:rFonts w:ascii="Gill Sans MT" w:hAnsi="Gill Sans MT" w:cs="Arial"/>
          <w:bCs/>
        </w:rPr>
        <w:t>.</w:t>
      </w:r>
      <w:r w:rsidR="00665A7B" w:rsidRPr="00665A7B">
        <w:rPr>
          <w:rFonts w:ascii="Gill Sans MT" w:hAnsi="Gill Sans MT" w:cs="Arial"/>
          <w:bCs/>
        </w:rPr>
        <w:t>996</w:t>
      </w:r>
      <w:r w:rsidR="006E2F0E" w:rsidRPr="00665A7B">
        <w:rPr>
          <w:rFonts w:ascii="Gill Sans MT" w:hAnsi="Gill Sans MT" w:cs="Arial"/>
          <w:bCs/>
        </w:rPr>
        <w:t>,</w:t>
      </w:r>
      <w:r w:rsidR="00CE637F" w:rsidRPr="00665A7B">
        <w:rPr>
          <w:rFonts w:ascii="Gill Sans MT" w:hAnsi="Gill Sans MT" w:cs="Arial"/>
          <w:bCs/>
        </w:rPr>
        <w:t>0</w:t>
      </w:r>
      <w:r w:rsidR="006E2F0E" w:rsidRPr="00665A7B">
        <w:rPr>
          <w:rFonts w:ascii="Gill Sans MT" w:hAnsi="Gill Sans MT" w:cs="Arial"/>
          <w:bCs/>
        </w:rPr>
        <w:t xml:space="preserve"> milhões de CVE </w:t>
      </w:r>
      <w:r w:rsidR="00606EAF" w:rsidRPr="00665A7B">
        <w:rPr>
          <w:rFonts w:ascii="Gill Sans MT" w:hAnsi="Gill Sans MT" w:cs="Arial"/>
          <w:bCs/>
        </w:rPr>
        <w:t>(</w:t>
      </w:r>
      <w:r w:rsidR="00CE637F" w:rsidRPr="00665A7B">
        <w:rPr>
          <w:rFonts w:ascii="Gill Sans MT" w:hAnsi="Gill Sans MT" w:cs="Arial"/>
          <w:bCs/>
        </w:rPr>
        <w:t xml:space="preserve">deficit de </w:t>
      </w:r>
      <w:r w:rsidR="00665A7B" w:rsidRPr="00665A7B">
        <w:rPr>
          <w:rFonts w:ascii="Gill Sans MT" w:hAnsi="Gill Sans MT" w:cs="Arial"/>
          <w:bCs/>
        </w:rPr>
        <w:t>6</w:t>
      </w:r>
      <w:r w:rsidR="006E2F0E" w:rsidRPr="00665A7B">
        <w:rPr>
          <w:rFonts w:ascii="Gill Sans MT" w:hAnsi="Gill Sans MT" w:cs="Arial"/>
          <w:bCs/>
        </w:rPr>
        <w:t>,</w:t>
      </w:r>
      <w:r w:rsidR="00665A7B" w:rsidRPr="00665A7B">
        <w:rPr>
          <w:rFonts w:ascii="Gill Sans MT" w:hAnsi="Gill Sans MT" w:cs="Arial"/>
          <w:bCs/>
        </w:rPr>
        <w:t>5</w:t>
      </w:r>
      <w:r w:rsidR="006E2F0E" w:rsidRPr="00665A7B">
        <w:rPr>
          <w:rFonts w:ascii="Gill Sans MT" w:hAnsi="Gill Sans MT" w:cs="Arial"/>
          <w:bCs/>
        </w:rPr>
        <w:t>% do PIB</w:t>
      </w:r>
      <w:r w:rsidR="00665A7B" w:rsidRPr="00665A7B">
        <w:rPr>
          <w:rFonts w:ascii="Gill Sans MT" w:hAnsi="Gill Sans MT" w:cs="Arial"/>
          <w:bCs/>
        </w:rPr>
        <w:t>)</w:t>
      </w:r>
      <w:r w:rsidR="006E2F0E" w:rsidRPr="00665A7B">
        <w:rPr>
          <w:rFonts w:ascii="Gill Sans MT" w:hAnsi="Gill Sans MT" w:cs="Arial"/>
          <w:bCs/>
        </w:rPr>
        <w:t xml:space="preserve">. Este </w:t>
      </w:r>
      <w:r w:rsidR="0019551E" w:rsidRPr="00665A7B">
        <w:rPr>
          <w:rFonts w:ascii="Gill Sans MT" w:hAnsi="Gill Sans MT" w:cs="Arial"/>
          <w:bCs/>
        </w:rPr>
        <w:t>resultado</w:t>
      </w:r>
      <w:r w:rsidR="006E2F0E" w:rsidRPr="00665A7B">
        <w:rPr>
          <w:rFonts w:ascii="Gill Sans MT" w:hAnsi="Gill Sans MT" w:cs="Arial"/>
          <w:bCs/>
        </w:rPr>
        <w:t xml:space="preserve"> </w:t>
      </w:r>
      <w:r w:rsidR="00665A7B" w:rsidRPr="00665A7B">
        <w:rPr>
          <w:rFonts w:ascii="Gill Sans MT" w:hAnsi="Gill Sans MT" w:cs="Arial"/>
          <w:bCs/>
        </w:rPr>
        <w:t>reflete</w:t>
      </w:r>
      <w:r w:rsidR="006E2F0E" w:rsidRPr="00665A7B">
        <w:rPr>
          <w:rFonts w:ascii="Gill Sans MT" w:hAnsi="Gill Sans MT" w:cs="Arial"/>
          <w:bCs/>
        </w:rPr>
        <w:t xml:space="preserve"> </w:t>
      </w:r>
      <w:r w:rsidR="00665A7B" w:rsidRPr="00665A7B">
        <w:rPr>
          <w:rFonts w:ascii="Gill Sans MT" w:hAnsi="Gill Sans MT" w:cs="Arial"/>
          <w:bCs/>
        </w:rPr>
        <w:t xml:space="preserve">a </w:t>
      </w:r>
      <w:r w:rsidR="00EF6E9B">
        <w:rPr>
          <w:rFonts w:ascii="Gill Sans MT" w:hAnsi="Gill Sans MT" w:cs="Arial"/>
          <w:bCs/>
        </w:rPr>
        <w:t>diminuição na arrecadação</w:t>
      </w:r>
      <w:r w:rsidR="00EF6E9B" w:rsidRPr="00665A7B">
        <w:rPr>
          <w:rFonts w:ascii="Gill Sans MT" w:hAnsi="Gill Sans MT" w:cs="Arial"/>
          <w:bCs/>
        </w:rPr>
        <w:t xml:space="preserve"> </w:t>
      </w:r>
      <w:r w:rsidR="006E2F0E" w:rsidRPr="00665A7B">
        <w:rPr>
          <w:rFonts w:ascii="Gill Sans MT" w:hAnsi="Gill Sans MT" w:cs="Arial"/>
          <w:bCs/>
        </w:rPr>
        <w:t>das receitas totais (</w:t>
      </w:r>
      <w:r w:rsidR="00E544B1" w:rsidRPr="00665A7B">
        <w:rPr>
          <w:rFonts w:ascii="Gill Sans MT" w:hAnsi="Gill Sans MT" w:cs="Arial"/>
          <w:bCs/>
        </w:rPr>
        <w:t>-</w:t>
      </w:r>
      <w:r w:rsidR="00665A7B" w:rsidRPr="00665A7B">
        <w:rPr>
          <w:rFonts w:ascii="Gill Sans MT" w:hAnsi="Gill Sans MT" w:cs="Arial"/>
          <w:bCs/>
        </w:rPr>
        <w:t>2</w:t>
      </w:r>
      <w:r w:rsidR="006E454A">
        <w:rPr>
          <w:rFonts w:ascii="Gill Sans MT" w:hAnsi="Gill Sans MT" w:cs="Arial"/>
          <w:bCs/>
        </w:rPr>
        <w:t>3</w:t>
      </w:r>
      <w:r w:rsidR="006E2F0E" w:rsidRPr="00665A7B">
        <w:rPr>
          <w:rFonts w:ascii="Gill Sans MT" w:hAnsi="Gill Sans MT" w:cs="Arial"/>
          <w:bCs/>
        </w:rPr>
        <w:t>,</w:t>
      </w:r>
      <w:r w:rsidR="006E454A">
        <w:rPr>
          <w:rFonts w:ascii="Gill Sans MT" w:hAnsi="Gill Sans MT" w:cs="Arial"/>
          <w:bCs/>
        </w:rPr>
        <w:t>8</w:t>
      </w:r>
      <w:r w:rsidR="006E2F0E" w:rsidRPr="00665A7B">
        <w:rPr>
          <w:rFonts w:ascii="Gill Sans MT" w:hAnsi="Gill Sans MT" w:cs="Arial"/>
          <w:bCs/>
        </w:rPr>
        <w:t xml:space="preserve">%), </w:t>
      </w:r>
      <w:r w:rsidR="00EF6E9B">
        <w:rPr>
          <w:rFonts w:ascii="Gill Sans MT" w:hAnsi="Gill Sans MT" w:cs="Arial"/>
          <w:bCs/>
        </w:rPr>
        <w:t xml:space="preserve">assim como a execução </w:t>
      </w:r>
      <w:r w:rsidR="006E2F0E" w:rsidRPr="00665A7B">
        <w:rPr>
          <w:rFonts w:ascii="Gill Sans MT" w:hAnsi="Gill Sans MT" w:cs="Arial"/>
          <w:bCs/>
        </w:rPr>
        <w:t>das despesas totais (</w:t>
      </w:r>
      <w:r w:rsidR="00E544B1" w:rsidRPr="00665A7B">
        <w:rPr>
          <w:rFonts w:ascii="Gill Sans MT" w:hAnsi="Gill Sans MT" w:cs="Arial"/>
          <w:bCs/>
        </w:rPr>
        <w:t>+</w:t>
      </w:r>
      <w:r w:rsidR="006E454A">
        <w:rPr>
          <w:rFonts w:ascii="Gill Sans MT" w:hAnsi="Gill Sans MT" w:cs="Arial"/>
          <w:bCs/>
        </w:rPr>
        <w:t>1</w:t>
      </w:r>
      <w:r w:rsidR="006E2F0E" w:rsidRPr="00665A7B">
        <w:rPr>
          <w:rFonts w:ascii="Gill Sans MT" w:hAnsi="Gill Sans MT" w:cs="Arial"/>
          <w:bCs/>
        </w:rPr>
        <w:t>,</w:t>
      </w:r>
      <w:r w:rsidR="006E454A">
        <w:rPr>
          <w:rFonts w:ascii="Gill Sans MT" w:hAnsi="Gill Sans MT" w:cs="Arial"/>
          <w:bCs/>
        </w:rPr>
        <w:t>8</w:t>
      </w:r>
      <w:r w:rsidR="006E2F0E" w:rsidRPr="00665A7B">
        <w:rPr>
          <w:rFonts w:ascii="Gill Sans MT" w:hAnsi="Gill Sans MT" w:cs="Arial"/>
          <w:bCs/>
        </w:rPr>
        <w:t>%) e dos ativos não financeiros (</w:t>
      </w:r>
      <w:r w:rsidR="004D4905">
        <w:rPr>
          <w:rFonts w:ascii="Gill Sans MT" w:hAnsi="Gill Sans MT" w:cs="Arial"/>
          <w:bCs/>
        </w:rPr>
        <w:t>-41,1%)</w:t>
      </w:r>
    </w:p>
    <w:p w14:paraId="3F602E30" w14:textId="77777777" w:rsidR="00C36DF1" w:rsidRDefault="00C36DF1" w:rsidP="006E2F0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77589020" w14:textId="77777777" w:rsidR="00C36DF1" w:rsidRDefault="00C36DF1" w:rsidP="006E2F0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6F74E9DC" w14:textId="77777777" w:rsidR="00C36DF1" w:rsidRDefault="00C36DF1" w:rsidP="006E2F0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3C87ED51" w14:textId="77777777" w:rsidR="00C36DF1" w:rsidRDefault="00C36DF1" w:rsidP="006E2F0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357D06B7" w14:textId="6051C88F" w:rsidR="006E2F0E" w:rsidRDefault="006E2F0E" w:rsidP="006E2F0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143E1B">
        <w:rPr>
          <w:rFonts w:ascii="Gill Sans MT" w:eastAsia="Calibri" w:hAnsi="Gill Sans MT" w:cs="Times New Roman"/>
          <w:b/>
          <w:bCs/>
        </w:rPr>
        <w:t xml:space="preserve">Gráfico </w:t>
      </w:r>
      <w:r w:rsidR="006E1B2E" w:rsidRPr="00143E1B">
        <w:rPr>
          <w:rFonts w:ascii="Gill Sans MT" w:eastAsia="Calibri" w:hAnsi="Gill Sans MT" w:cs="Times New Roman"/>
          <w:b/>
          <w:bCs/>
        </w:rPr>
        <w:t>1</w:t>
      </w:r>
      <w:r w:rsidR="00105A2D">
        <w:rPr>
          <w:rFonts w:ascii="Gill Sans MT" w:eastAsia="Calibri" w:hAnsi="Gill Sans MT" w:cs="Times New Roman"/>
          <w:b/>
          <w:bCs/>
        </w:rPr>
        <w:t>2</w:t>
      </w:r>
      <w:r w:rsidRPr="00143E1B">
        <w:rPr>
          <w:rFonts w:ascii="Gill Sans MT" w:eastAsia="Calibri" w:hAnsi="Gill Sans MT" w:cs="Times New Roman"/>
          <w:b/>
          <w:bCs/>
        </w:rPr>
        <w:t>: Evolução do Saldo Global</w:t>
      </w:r>
      <w:r w:rsidR="00BF7445">
        <w:rPr>
          <w:rFonts w:ascii="Gill Sans MT" w:eastAsia="Calibri" w:hAnsi="Gill Sans MT" w:cs="Times New Roman"/>
          <w:b/>
          <w:bCs/>
        </w:rPr>
        <w:t xml:space="preserve"> </w:t>
      </w:r>
    </w:p>
    <w:p w14:paraId="18776689" w14:textId="56725EDF" w:rsidR="006E2F0E" w:rsidRPr="0059546D" w:rsidRDefault="007E7F85" w:rsidP="006E2F0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7E7F85">
        <w:rPr>
          <w:noProof/>
          <w:lang w:eastAsia="pt-PT"/>
        </w:rPr>
        <w:lastRenderedPageBreak/>
        <w:drawing>
          <wp:inline distT="0" distB="0" distL="0" distR="0" wp14:anchorId="2DD0937E" wp14:editId="53ABFCA1">
            <wp:extent cx="4108360" cy="2935321"/>
            <wp:effectExtent l="0" t="0" r="698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48" cy="29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5742" w14:textId="77777777" w:rsidR="006E2F0E" w:rsidRDefault="006E2F0E" w:rsidP="006E2F0E">
      <w:pPr>
        <w:spacing w:line="360" w:lineRule="auto"/>
        <w:jc w:val="center"/>
        <w:rPr>
          <w:rFonts w:ascii="Gill Sans MT" w:hAnsi="Gill Sans MT" w:cs="Arial"/>
          <w:bCs/>
          <w:sz w:val="18"/>
          <w:szCs w:val="18"/>
        </w:rPr>
      </w:pPr>
      <w:r w:rsidRPr="00614F3A"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614F3A">
        <w:rPr>
          <w:rFonts w:ascii="Gill Sans MT" w:hAnsi="Gill Sans MT" w:cs="Arial"/>
          <w:bCs/>
          <w:sz w:val="18"/>
          <w:szCs w:val="18"/>
        </w:rPr>
        <w:t>Ministério das Finanças.</w:t>
      </w:r>
    </w:p>
    <w:p w14:paraId="375E02BE" w14:textId="1333DBCC" w:rsidR="00546AB6" w:rsidRPr="00E55B52" w:rsidRDefault="005440BC" w:rsidP="00546AB6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  <w:r w:rsidRPr="007D02DA">
        <w:rPr>
          <w:rFonts w:ascii="Gill Sans MT" w:hAnsi="Gill Sans MT" w:cs="Arial"/>
          <w:bCs/>
        </w:rPr>
        <w:t xml:space="preserve">A </w:t>
      </w:r>
      <w:r w:rsidR="0039691E" w:rsidRPr="007D02DA">
        <w:rPr>
          <w:rFonts w:ascii="Gill Sans MT" w:hAnsi="Gill Sans MT" w:cs="Arial"/>
          <w:bCs/>
        </w:rPr>
        <w:t>considerável</w:t>
      </w:r>
      <w:r w:rsidRPr="007D02DA">
        <w:rPr>
          <w:rFonts w:ascii="Gill Sans MT" w:hAnsi="Gill Sans MT" w:cs="Arial"/>
          <w:bCs/>
        </w:rPr>
        <w:t xml:space="preserve"> </w:t>
      </w:r>
      <w:r w:rsidR="0039691E" w:rsidRPr="007D02DA">
        <w:rPr>
          <w:rFonts w:ascii="Gill Sans MT" w:hAnsi="Gill Sans MT" w:cs="Arial"/>
          <w:bCs/>
        </w:rPr>
        <w:t>redução das</w:t>
      </w:r>
      <w:r w:rsidRPr="007D02DA">
        <w:rPr>
          <w:rFonts w:ascii="Gill Sans MT" w:hAnsi="Gill Sans MT" w:cs="Arial"/>
          <w:bCs/>
        </w:rPr>
        <w:t xml:space="preserve"> </w:t>
      </w:r>
      <w:r w:rsidR="00511098" w:rsidRPr="007D02DA">
        <w:rPr>
          <w:rFonts w:ascii="Gill Sans MT" w:hAnsi="Gill Sans MT" w:cs="Arial"/>
          <w:bCs/>
        </w:rPr>
        <w:t>receitas t</w:t>
      </w:r>
      <w:r w:rsidRPr="007D02DA">
        <w:rPr>
          <w:rFonts w:ascii="Gill Sans MT" w:hAnsi="Gill Sans MT" w:cs="Arial"/>
          <w:bCs/>
        </w:rPr>
        <w:t>otais</w:t>
      </w:r>
      <w:r w:rsidR="00D34687" w:rsidRPr="007D02DA">
        <w:rPr>
          <w:rFonts w:ascii="Gill Sans MT" w:hAnsi="Gill Sans MT" w:cs="Arial"/>
          <w:bCs/>
        </w:rPr>
        <w:t xml:space="preserve"> resulta das </w:t>
      </w:r>
      <w:r w:rsidR="0039691E" w:rsidRPr="007D02DA">
        <w:rPr>
          <w:rFonts w:ascii="Gill Sans MT" w:hAnsi="Gill Sans MT" w:cs="Arial"/>
          <w:bCs/>
        </w:rPr>
        <w:t>quedas</w:t>
      </w:r>
      <w:r w:rsidR="00D34687" w:rsidRPr="007D02DA">
        <w:rPr>
          <w:rFonts w:ascii="Gill Sans MT" w:hAnsi="Gill Sans MT" w:cs="Arial"/>
          <w:bCs/>
        </w:rPr>
        <w:t xml:space="preserve"> ocorridas n</w:t>
      </w:r>
      <w:r w:rsidR="00EF6E9B">
        <w:rPr>
          <w:rFonts w:ascii="Gill Sans MT" w:hAnsi="Gill Sans MT" w:cs="Arial"/>
          <w:bCs/>
        </w:rPr>
        <w:t>a</w:t>
      </w:r>
      <w:r w:rsidRPr="007D02DA">
        <w:rPr>
          <w:rFonts w:ascii="Gill Sans MT" w:hAnsi="Gill Sans MT" w:cs="Arial"/>
          <w:bCs/>
        </w:rPr>
        <w:t>s</w:t>
      </w:r>
      <w:r w:rsidR="00EF6E9B">
        <w:rPr>
          <w:rFonts w:ascii="Gill Sans MT" w:hAnsi="Gill Sans MT" w:cs="Arial"/>
          <w:bCs/>
        </w:rPr>
        <w:t xml:space="preserve"> rubricas</w:t>
      </w:r>
      <w:r w:rsidRPr="007D02DA">
        <w:rPr>
          <w:rFonts w:ascii="Gill Sans MT" w:hAnsi="Gill Sans MT" w:cs="Arial"/>
          <w:bCs/>
        </w:rPr>
        <w:t xml:space="preserve"> impostos (-2</w:t>
      </w:r>
      <w:r w:rsidR="004648AC">
        <w:rPr>
          <w:rFonts w:ascii="Gill Sans MT" w:hAnsi="Gill Sans MT" w:cs="Arial"/>
          <w:bCs/>
        </w:rPr>
        <w:t>3</w:t>
      </w:r>
      <w:r w:rsidRPr="007D02DA">
        <w:rPr>
          <w:rFonts w:ascii="Gill Sans MT" w:hAnsi="Gill Sans MT" w:cs="Arial"/>
          <w:bCs/>
        </w:rPr>
        <w:t>,</w:t>
      </w:r>
      <w:r w:rsidR="004648AC">
        <w:rPr>
          <w:rFonts w:ascii="Gill Sans MT" w:hAnsi="Gill Sans MT" w:cs="Arial"/>
          <w:bCs/>
        </w:rPr>
        <w:t>3</w:t>
      </w:r>
      <w:r w:rsidRPr="007D02DA">
        <w:rPr>
          <w:rFonts w:ascii="Gill Sans MT" w:hAnsi="Gill Sans MT" w:cs="Arial"/>
          <w:bCs/>
        </w:rPr>
        <w:t>%), segurança social (-</w:t>
      </w:r>
      <w:r w:rsidR="00511098" w:rsidRPr="007D02DA">
        <w:rPr>
          <w:rFonts w:ascii="Gill Sans MT" w:hAnsi="Gill Sans MT" w:cs="Arial"/>
          <w:bCs/>
        </w:rPr>
        <w:t>25</w:t>
      </w:r>
      <w:r w:rsidRPr="007D02DA">
        <w:rPr>
          <w:rFonts w:ascii="Gill Sans MT" w:hAnsi="Gill Sans MT" w:cs="Arial"/>
          <w:bCs/>
        </w:rPr>
        <w:t>,</w:t>
      </w:r>
      <w:r w:rsidR="00511098" w:rsidRPr="007D02DA">
        <w:rPr>
          <w:rFonts w:ascii="Gill Sans MT" w:hAnsi="Gill Sans MT" w:cs="Arial"/>
          <w:bCs/>
        </w:rPr>
        <w:t>8</w:t>
      </w:r>
      <w:r w:rsidRPr="007D02DA">
        <w:rPr>
          <w:rFonts w:ascii="Gill Sans MT" w:hAnsi="Gill Sans MT" w:cs="Arial"/>
          <w:bCs/>
        </w:rPr>
        <w:t>%)</w:t>
      </w:r>
      <w:r w:rsidR="000914B4" w:rsidRPr="007D02DA">
        <w:rPr>
          <w:rFonts w:ascii="Gill Sans MT" w:hAnsi="Gill Sans MT" w:cs="Arial"/>
          <w:bCs/>
        </w:rPr>
        <w:t>, transferências</w:t>
      </w:r>
      <w:r w:rsidR="00D34687" w:rsidRPr="007D02DA">
        <w:rPr>
          <w:rFonts w:ascii="Gill Sans MT" w:hAnsi="Gill Sans MT" w:cs="Arial"/>
          <w:bCs/>
        </w:rPr>
        <w:t xml:space="preserve"> </w:t>
      </w:r>
      <w:r w:rsidR="00511098" w:rsidRPr="007D02DA">
        <w:rPr>
          <w:rFonts w:ascii="Gill Sans MT" w:hAnsi="Gill Sans MT" w:cs="Arial"/>
          <w:bCs/>
        </w:rPr>
        <w:t>(-16</w:t>
      </w:r>
      <w:r w:rsidR="00D34687" w:rsidRPr="007D02DA">
        <w:rPr>
          <w:rFonts w:ascii="Gill Sans MT" w:hAnsi="Gill Sans MT" w:cs="Arial"/>
          <w:bCs/>
        </w:rPr>
        <w:t>,</w:t>
      </w:r>
      <w:r w:rsidR="00511098" w:rsidRPr="007D02DA">
        <w:rPr>
          <w:rFonts w:ascii="Gill Sans MT" w:hAnsi="Gill Sans MT" w:cs="Arial"/>
          <w:bCs/>
        </w:rPr>
        <w:t>3</w:t>
      </w:r>
      <w:r w:rsidR="00D34687" w:rsidRPr="007D02DA">
        <w:rPr>
          <w:rFonts w:ascii="Gill Sans MT" w:hAnsi="Gill Sans MT" w:cs="Arial"/>
          <w:bCs/>
        </w:rPr>
        <w:t>%)</w:t>
      </w:r>
      <w:r w:rsidR="00511098" w:rsidRPr="007D02DA">
        <w:rPr>
          <w:rFonts w:ascii="Gill Sans MT" w:hAnsi="Gill Sans MT" w:cs="Arial"/>
          <w:bCs/>
        </w:rPr>
        <w:t xml:space="preserve"> e outras receitas (-3</w:t>
      </w:r>
      <w:r w:rsidR="004648AC">
        <w:rPr>
          <w:rFonts w:ascii="Gill Sans MT" w:hAnsi="Gill Sans MT" w:cs="Arial"/>
          <w:bCs/>
        </w:rPr>
        <w:t>1</w:t>
      </w:r>
      <w:r w:rsidR="00511098" w:rsidRPr="007D02DA">
        <w:rPr>
          <w:rFonts w:ascii="Gill Sans MT" w:hAnsi="Gill Sans MT" w:cs="Arial"/>
          <w:bCs/>
        </w:rPr>
        <w:t>,</w:t>
      </w:r>
      <w:r w:rsidR="004648AC">
        <w:rPr>
          <w:rFonts w:ascii="Gill Sans MT" w:hAnsi="Gill Sans MT" w:cs="Arial"/>
          <w:bCs/>
        </w:rPr>
        <w:t>2</w:t>
      </w:r>
      <w:r w:rsidR="00511098" w:rsidRPr="007D02DA">
        <w:rPr>
          <w:rFonts w:ascii="Gill Sans MT" w:hAnsi="Gill Sans MT" w:cs="Arial"/>
          <w:bCs/>
        </w:rPr>
        <w:t>%)</w:t>
      </w:r>
      <w:r w:rsidR="00D9688D" w:rsidRPr="007D02DA">
        <w:rPr>
          <w:rFonts w:ascii="Gill Sans MT" w:hAnsi="Gill Sans MT" w:cs="Arial"/>
          <w:bCs/>
        </w:rPr>
        <w:t xml:space="preserve">.  A </w:t>
      </w:r>
      <w:r w:rsidR="00546AB6" w:rsidRPr="007D02DA">
        <w:rPr>
          <w:rFonts w:ascii="Gill Sans MT" w:hAnsi="Gill Sans MT" w:cs="Arial"/>
          <w:bCs/>
        </w:rPr>
        <w:t xml:space="preserve">receita fiscal registou </w:t>
      </w:r>
      <w:r w:rsidR="00D9688D" w:rsidRPr="007D02DA">
        <w:rPr>
          <w:rFonts w:ascii="Gill Sans MT" w:hAnsi="Gill Sans MT" w:cs="Arial"/>
          <w:bCs/>
        </w:rPr>
        <w:t>uma</w:t>
      </w:r>
      <w:r w:rsidR="002C4C86" w:rsidRPr="007D02DA">
        <w:rPr>
          <w:rFonts w:ascii="Gill Sans MT" w:hAnsi="Gill Sans MT" w:cs="Arial"/>
          <w:bCs/>
        </w:rPr>
        <w:t xml:space="preserve"> forte</w:t>
      </w:r>
      <w:r w:rsidR="00D9688D" w:rsidRPr="007D02DA">
        <w:rPr>
          <w:rFonts w:ascii="Gill Sans MT" w:hAnsi="Gill Sans MT" w:cs="Arial"/>
          <w:bCs/>
        </w:rPr>
        <w:t xml:space="preserve"> queda </w:t>
      </w:r>
      <w:r w:rsidR="00546AB6" w:rsidRPr="007D02DA">
        <w:rPr>
          <w:rFonts w:ascii="Gill Sans MT" w:hAnsi="Gill Sans MT" w:cs="Arial"/>
          <w:bCs/>
        </w:rPr>
        <w:t xml:space="preserve">de </w:t>
      </w:r>
      <w:r w:rsidRPr="007D02DA">
        <w:rPr>
          <w:rFonts w:ascii="Gill Sans MT" w:hAnsi="Gill Sans MT" w:cs="Arial"/>
          <w:bCs/>
        </w:rPr>
        <w:t>2</w:t>
      </w:r>
      <w:r w:rsidR="009A751B">
        <w:rPr>
          <w:rFonts w:ascii="Gill Sans MT" w:hAnsi="Gill Sans MT" w:cs="Arial"/>
          <w:bCs/>
        </w:rPr>
        <w:t>3</w:t>
      </w:r>
      <w:r w:rsidR="00643ECB" w:rsidRPr="007D02DA">
        <w:rPr>
          <w:rFonts w:ascii="Gill Sans MT" w:hAnsi="Gill Sans MT" w:cs="Arial"/>
          <w:bCs/>
        </w:rPr>
        <w:t>,</w:t>
      </w:r>
      <w:r w:rsidR="009A751B">
        <w:rPr>
          <w:rFonts w:ascii="Gill Sans MT" w:hAnsi="Gill Sans MT" w:cs="Arial"/>
          <w:bCs/>
        </w:rPr>
        <w:t>3</w:t>
      </w:r>
      <w:r w:rsidR="00643ECB" w:rsidRPr="007D02DA">
        <w:rPr>
          <w:rFonts w:ascii="Gill Sans MT" w:hAnsi="Gill Sans MT" w:cs="Arial"/>
          <w:bCs/>
        </w:rPr>
        <w:t>%</w:t>
      </w:r>
      <w:r w:rsidR="00546AB6" w:rsidRPr="007D02DA">
        <w:rPr>
          <w:rFonts w:ascii="Gill Sans MT" w:hAnsi="Gill Sans MT" w:cs="Arial"/>
          <w:bCs/>
        </w:rPr>
        <w:t xml:space="preserve"> face ao período homólogo, </w:t>
      </w:r>
      <w:r w:rsidR="002C4C86" w:rsidRPr="007D02DA">
        <w:rPr>
          <w:rFonts w:ascii="Gill Sans MT" w:hAnsi="Gill Sans MT" w:cs="Arial"/>
          <w:bCs/>
        </w:rPr>
        <w:t>devido aos</w:t>
      </w:r>
      <w:r w:rsidR="00D04728" w:rsidRPr="007D02DA">
        <w:rPr>
          <w:rFonts w:ascii="Gill Sans MT" w:hAnsi="Gill Sans MT" w:cs="Arial"/>
          <w:bCs/>
        </w:rPr>
        <w:t xml:space="preserve"> </w:t>
      </w:r>
      <w:r w:rsidR="00D9688D" w:rsidRPr="007D02DA">
        <w:rPr>
          <w:rFonts w:ascii="Gill Sans MT" w:hAnsi="Gill Sans MT" w:cs="Arial"/>
          <w:bCs/>
        </w:rPr>
        <w:t>desempenhos</w:t>
      </w:r>
      <w:r w:rsidR="00D04728" w:rsidRPr="007D02DA">
        <w:rPr>
          <w:rFonts w:ascii="Gill Sans MT" w:hAnsi="Gill Sans MT" w:cs="Arial"/>
          <w:bCs/>
        </w:rPr>
        <w:t xml:space="preserve"> negativas</w:t>
      </w:r>
      <w:r w:rsidR="002C4C86" w:rsidRPr="007D02DA">
        <w:rPr>
          <w:rFonts w:ascii="Gill Sans MT" w:hAnsi="Gill Sans MT" w:cs="Arial"/>
          <w:bCs/>
        </w:rPr>
        <w:t xml:space="preserve"> dos impostos sobre bens e serviços (-2</w:t>
      </w:r>
      <w:r w:rsidR="009A751B">
        <w:rPr>
          <w:rFonts w:ascii="Gill Sans MT" w:hAnsi="Gill Sans MT" w:cs="Arial"/>
          <w:bCs/>
        </w:rPr>
        <w:t>6</w:t>
      </w:r>
      <w:r w:rsidR="002C4C86" w:rsidRPr="007D02DA">
        <w:rPr>
          <w:rFonts w:ascii="Gill Sans MT" w:hAnsi="Gill Sans MT" w:cs="Arial"/>
          <w:bCs/>
        </w:rPr>
        <w:t>,</w:t>
      </w:r>
      <w:r w:rsidR="009A751B">
        <w:rPr>
          <w:rFonts w:ascii="Gill Sans MT" w:hAnsi="Gill Sans MT" w:cs="Arial"/>
          <w:bCs/>
        </w:rPr>
        <w:t>4</w:t>
      </w:r>
      <w:r w:rsidR="002C4C86" w:rsidRPr="007D02DA">
        <w:rPr>
          <w:rFonts w:ascii="Gill Sans MT" w:hAnsi="Gill Sans MT" w:cs="Arial"/>
          <w:bCs/>
        </w:rPr>
        <w:t>%),</w:t>
      </w:r>
      <w:r w:rsidR="00D04728" w:rsidRPr="007D02DA">
        <w:rPr>
          <w:rFonts w:ascii="Gill Sans MT" w:hAnsi="Gill Sans MT" w:cs="Arial"/>
          <w:bCs/>
        </w:rPr>
        <w:t xml:space="preserve"> dos impostos sobre o rendimento (-2</w:t>
      </w:r>
      <w:r w:rsidR="007D02DA" w:rsidRPr="007D02DA">
        <w:rPr>
          <w:rFonts w:ascii="Gill Sans MT" w:hAnsi="Gill Sans MT" w:cs="Arial"/>
          <w:bCs/>
        </w:rPr>
        <w:t>2</w:t>
      </w:r>
      <w:r w:rsidR="00D04728" w:rsidRPr="007D02DA">
        <w:rPr>
          <w:rFonts w:ascii="Gill Sans MT" w:hAnsi="Gill Sans MT" w:cs="Arial"/>
          <w:bCs/>
        </w:rPr>
        <w:t>,</w:t>
      </w:r>
      <w:r w:rsidR="007D02DA" w:rsidRPr="007D02DA">
        <w:rPr>
          <w:rFonts w:ascii="Gill Sans MT" w:hAnsi="Gill Sans MT" w:cs="Arial"/>
          <w:bCs/>
        </w:rPr>
        <w:t>8</w:t>
      </w:r>
      <w:r w:rsidR="00D9688D" w:rsidRPr="007D02DA">
        <w:rPr>
          <w:rFonts w:ascii="Gill Sans MT" w:hAnsi="Gill Sans MT" w:cs="Arial"/>
          <w:bCs/>
        </w:rPr>
        <w:t xml:space="preserve">%), </w:t>
      </w:r>
      <w:r w:rsidR="002C4C86" w:rsidRPr="007D02DA">
        <w:rPr>
          <w:rFonts w:ascii="Gill Sans MT" w:hAnsi="Gill Sans MT" w:cs="Arial"/>
          <w:bCs/>
        </w:rPr>
        <w:t>com a queda do rendimento disponível e do consumo,</w:t>
      </w:r>
      <w:r w:rsidR="008F40E3">
        <w:rPr>
          <w:rFonts w:ascii="Gill Sans MT" w:hAnsi="Gill Sans MT" w:cs="Arial"/>
          <w:bCs/>
        </w:rPr>
        <w:t xml:space="preserve"> </w:t>
      </w:r>
      <w:r w:rsidR="00D04728" w:rsidRPr="007D02DA">
        <w:rPr>
          <w:rFonts w:ascii="Gill Sans MT" w:hAnsi="Gill Sans MT" w:cs="Arial"/>
          <w:bCs/>
        </w:rPr>
        <w:t>dos impostos sobre transações internacionais (</w:t>
      </w:r>
      <w:r w:rsidR="006F1B3F" w:rsidRPr="007D02DA">
        <w:rPr>
          <w:rFonts w:ascii="Gill Sans MT" w:hAnsi="Gill Sans MT" w:cs="Arial"/>
          <w:bCs/>
        </w:rPr>
        <w:t>-1</w:t>
      </w:r>
      <w:r w:rsidR="007D02DA" w:rsidRPr="007D02DA">
        <w:rPr>
          <w:rFonts w:ascii="Gill Sans MT" w:hAnsi="Gill Sans MT" w:cs="Arial"/>
          <w:bCs/>
        </w:rPr>
        <w:t>7</w:t>
      </w:r>
      <w:r w:rsidR="006F1B3F" w:rsidRPr="007D02DA">
        <w:rPr>
          <w:rFonts w:ascii="Gill Sans MT" w:hAnsi="Gill Sans MT" w:cs="Arial"/>
          <w:bCs/>
        </w:rPr>
        <w:t>,</w:t>
      </w:r>
      <w:r w:rsidR="007D02DA" w:rsidRPr="007D02DA">
        <w:rPr>
          <w:rFonts w:ascii="Gill Sans MT" w:hAnsi="Gill Sans MT" w:cs="Arial"/>
          <w:bCs/>
        </w:rPr>
        <w:t>7</w:t>
      </w:r>
      <w:r w:rsidR="006F1B3F" w:rsidRPr="007D02DA">
        <w:rPr>
          <w:rFonts w:ascii="Gill Sans MT" w:hAnsi="Gill Sans MT" w:cs="Arial"/>
          <w:bCs/>
        </w:rPr>
        <w:t xml:space="preserve">%), </w:t>
      </w:r>
      <w:r w:rsidR="00D04728" w:rsidRPr="007D02DA">
        <w:rPr>
          <w:rFonts w:ascii="Gill Sans MT" w:hAnsi="Gill Sans MT" w:cs="Arial"/>
          <w:bCs/>
        </w:rPr>
        <w:t>com a redução da demanda externa</w:t>
      </w:r>
      <w:r w:rsidR="00D9688D" w:rsidRPr="007D02DA">
        <w:rPr>
          <w:rFonts w:ascii="Gill Sans MT" w:hAnsi="Gill Sans MT" w:cs="Arial"/>
          <w:bCs/>
        </w:rPr>
        <w:t>, e de outros impostos (-</w:t>
      </w:r>
      <w:r w:rsidR="007D02DA" w:rsidRPr="007D02DA">
        <w:rPr>
          <w:rFonts w:ascii="Gill Sans MT" w:hAnsi="Gill Sans MT" w:cs="Arial"/>
          <w:bCs/>
        </w:rPr>
        <w:t>0</w:t>
      </w:r>
      <w:r w:rsidR="00D9688D" w:rsidRPr="007D02DA">
        <w:rPr>
          <w:rFonts w:ascii="Gill Sans MT" w:hAnsi="Gill Sans MT" w:cs="Arial"/>
          <w:bCs/>
        </w:rPr>
        <w:t>,</w:t>
      </w:r>
      <w:r w:rsidR="007D02DA" w:rsidRPr="007D02DA">
        <w:rPr>
          <w:rFonts w:ascii="Gill Sans MT" w:hAnsi="Gill Sans MT" w:cs="Arial"/>
          <w:bCs/>
        </w:rPr>
        <w:t>4</w:t>
      </w:r>
      <w:r w:rsidR="00D9688D" w:rsidRPr="007D02DA">
        <w:rPr>
          <w:rFonts w:ascii="Gill Sans MT" w:hAnsi="Gill Sans MT" w:cs="Arial"/>
          <w:bCs/>
        </w:rPr>
        <w:t>%)</w:t>
      </w:r>
      <w:r w:rsidR="00546AB6" w:rsidRPr="007D02DA">
        <w:rPr>
          <w:rFonts w:ascii="Gill Sans MT" w:hAnsi="Gill Sans MT" w:cs="Arial"/>
          <w:bCs/>
        </w:rPr>
        <w:t xml:space="preserve">. </w:t>
      </w:r>
      <w:r w:rsidR="002C4C86" w:rsidRPr="007D02DA">
        <w:rPr>
          <w:rFonts w:ascii="Gill Sans MT" w:hAnsi="Gill Sans MT" w:cs="Arial"/>
          <w:bCs/>
        </w:rPr>
        <w:t>Este</w:t>
      </w:r>
      <w:r w:rsidR="00E34D29" w:rsidRPr="007D02DA">
        <w:rPr>
          <w:rFonts w:ascii="Gill Sans MT" w:hAnsi="Gill Sans MT" w:cs="Arial"/>
          <w:bCs/>
        </w:rPr>
        <w:t xml:space="preserve"> </w:t>
      </w:r>
      <w:r w:rsidR="002C4C86" w:rsidRPr="007D02DA">
        <w:rPr>
          <w:rFonts w:ascii="Gill Sans MT" w:hAnsi="Gill Sans MT" w:cs="Arial"/>
          <w:bCs/>
        </w:rPr>
        <w:t>resultado</w:t>
      </w:r>
      <w:r w:rsidR="00E34D29" w:rsidRPr="007D02DA">
        <w:rPr>
          <w:rFonts w:ascii="Gill Sans MT" w:hAnsi="Gill Sans MT" w:cs="Arial"/>
          <w:bCs/>
        </w:rPr>
        <w:t xml:space="preserve"> traduz</w:t>
      </w:r>
      <w:r w:rsidR="00EF6E9B">
        <w:rPr>
          <w:rFonts w:ascii="Gill Sans MT" w:hAnsi="Gill Sans MT" w:cs="Arial"/>
          <w:bCs/>
        </w:rPr>
        <w:t xml:space="preserve"> o impacto sobre</w:t>
      </w:r>
      <w:r w:rsidR="00E34D29" w:rsidRPr="00B33AE5">
        <w:rPr>
          <w:rFonts w:ascii="Gill Sans MT" w:hAnsi="Gill Sans MT" w:cs="Arial"/>
          <w:bCs/>
        </w:rPr>
        <w:t>:</w:t>
      </w:r>
    </w:p>
    <w:p w14:paraId="4C6FE3F1" w14:textId="0C187472" w:rsidR="00B96F3D" w:rsidRPr="00B33AE5" w:rsidRDefault="00B96F3D" w:rsidP="00546AB6">
      <w:pPr>
        <w:pStyle w:val="PargrafodaLista"/>
        <w:numPr>
          <w:ilvl w:val="0"/>
          <w:numId w:val="19"/>
        </w:numPr>
        <w:spacing w:line="360" w:lineRule="auto"/>
        <w:ind w:left="777" w:hanging="357"/>
        <w:jc w:val="both"/>
        <w:textAlignment w:val="auto"/>
        <w:rPr>
          <w:rFonts w:ascii="Gill Sans MT" w:hAnsi="Gill Sans MT" w:cs="Arial"/>
          <w:bCs/>
          <w:sz w:val="22"/>
          <w:szCs w:val="22"/>
        </w:rPr>
      </w:pPr>
      <w:r w:rsidRPr="00B33AE5">
        <w:rPr>
          <w:rFonts w:ascii="Gill Sans MT" w:hAnsi="Gill Sans MT" w:cs="Arial"/>
          <w:bCs/>
          <w:sz w:val="22"/>
          <w:szCs w:val="22"/>
        </w:rPr>
        <w:t xml:space="preserve">Imposto sobre o Rendimento: </w:t>
      </w:r>
      <w:r w:rsidR="00F60106" w:rsidRPr="00B33AE5">
        <w:rPr>
          <w:rFonts w:ascii="Gill Sans MT" w:hAnsi="Gill Sans MT" w:cs="Arial"/>
          <w:bCs/>
          <w:sz w:val="22"/>
          <w:szCs w:val="22"/>
        </w:rPr>
        <w:t xml:space="preserve">a </w:t>
      </w:r>
      <w:r w:rsidR="002C4C86" w:rsidRPr="00B33AE5">
        <w:rPr>
          <w:rFonts w:ascii="Gill Sans MT" w:hAnsi="Gill Sans MT" w:cs="Arial"/>
          <w:bCs/>
          <w:sz w:val="22"/>
          <w:szCs w:val="22"/>
        </w:rPr>
        <w:t>redução</w:t>
      </w:r>
      <w:r w:rsidRPr="00B33AE5">
        <w:rPr>
          <w:rFonts w:ascii="Gill Sans MT" w:hAnsi="Gill Sans MT" w:cs="Arial"/>
          <w:bCs/>
          <w:sz w:val="22"/>
          <w:szCs w:val="22"/>
        </w:rPr>
        <w:t xml:space="preserve"> de </w:t>
      </w:r>
      <w:r w:rsidR="00A46601" w:rsidRPr="00B33AE5">
        <w:rPr>
          <w:rFonts w:ascii="Gill Sans MT" w:hAnsi="Gill Sans MT" w:cs="Arial"/>
          <w:bCs/>
          <w:sz w:val="22"/>
          <w:szCs w:val="22"/>
        </w:rPr>
        <w:t>10</w:t>
      </w:r>
      <w:r w:rsidRPr="00B33AE5">
        <w:rPr>
          <w:rFonts w:ascii="Gill Sans MT" w:hAnsi="Gill Sans MT" w:cs="Arial"/>
          <w:bCs/>
          <w:sz w:val="22"/>
          <w:szCs w:val="22"/>
        </w:rPr>
        <w:t>,</w:t>
      </w:r>
      <w:r w:rsidR="00A46601" w:rsidRPr="00B33AE5">
        <w:rPr>
          <w:rFonts w:ascii="Gill Sans MT" w:hAnsi="Gill Sans MT" w:cs="Arial"/>
          <w:bCs/>
          <w:sz w:val="22"/>
          <w:szCs w:val="22"/>
        </w:rPr>
        <w:t>6</w:t>
      </w:r>
      <w:r w:rsidR="00F60106" w:rsidRPr="00B33AE5">
        <w:rPr>
          <w:rFonts w:ascii="Gill Sans MT" w:hAnsi="Gill Sans MT" w:cs="Arial"/>
          <w:bCs/>
          <w:sz w:val="22"/>
          <w:szCs w:val="22"/>
        </w:rPr>
        <w:t xml:space="preserve">% no IR-PS e </w:t>
      </w:r>
      <w:r w:rsidRPr="00B33AE5">
        <w:rPr>
          <w:rFonts w:ascii="Gill Sans MT" w:hAnsi="Gill Sans MT" w:cs="Arial"/>
          <w:bCs/>
          <w:sz w:val="22"/>
          <w:szCs w:val="22"/>
        </w:rPr>
        <w:t xml:space="preserve">a forte queda de </w:t>
      </w:r>
      <w:r w:rsidR="002C4C86" w:rsidRPr="00B33AE5">
        <w:rPr>
          <w:rFonts w:ascii="Gill Sans MT" w:hAnsi="Gill Sans MT" w:cs="Arial"/>
          <w:bCs/>
          <w:sz w:val="22"/>
          <w:szCs w:val="22"/>
        </w:rPr>
        <w:t>3</w:t>
      </w:r>
      <w:r w:rsidR="00A46601" w:rsidRPr="00B33AE5">
        <w:rPr>
          <w:rFonts w:ascii="Gill Sans MT" w:hAnsi="Gill Sans MT" w:cs="Arial"/>
          <w:bCs/>
          <w:sz w:val="22"/>
          <w:szCs w:val="22"/>
        </w:rPr>
        <w:t>9</w:t>
      </w:r>
      <w:r w:rsidRPr="00B33AE5">
        <w:rPr>
          <w:rFonts w:ascii="Gill Sans MT" w:hAnsi="Gill Sans MT" w:cs="Arial"/>
          <w:bCs/>
          <w:sz w:val="22"/>
          <w:szCs w:val="22"/>
        </w:rPr>
        <w:t>,</w:t>
      </w:r>
      <w:r w:rsidR="00A46601" w:rsidRPr="00B33AE5">
        <w:rPr>
          <w:rFonts w:ascii="Gill Sans MT" w:hAnsi="Gill Sans MT" w:cs="Arial"/>
          <w:bCs/>
          <w:sz w:val="22"/>
          <w:szCs w:val="22"/>
        </w:rPr>
        <w:t>0</w:t>
      </w:r>
      <w:r w:rsidRPr="00B33AE5">
        <w:rPr>
          <w:rFonts w:ascii="Gill Sans MT" w:hAnsi="Gill Sans MT" w:cs="Arial"/>
          <w:bCs/>
          <w:sz w:val="22"/>
          <w:szCs w:val="22"/>
        </w:rPr>
        <w:t xml:space="preserve">% do IRPC, </w:t>
      </w:r>
      <w:r w:rsidR="00A46601" w:rsidRPr="00B33AE5">
        <w:rPr>
          <w:rFonts w:ascii="Gill Sans MT" w:hAnsi="Gill Sans MT" w:cs="Arial"/>
          <w:bCs/>
          <w:sz w:val="22"/>
          <w:szCs w:val="22"/>
        </w:rPr>
        <w:t xml:space="preserve">justificado pela </w:t>
      </w:r>
      <w:r w:rsidRPr="00B33AE5">
        <w:rPr>
          <w:rFonts w:ascii="Gill Sans MT" w:hAnsi="Gill Sans MT" w:cs="Arial"/>
          <w:bCs/>
          <w:sz w:val="22"/>
          <w:szCs w:val="22"/>
        </w:rPr>
        <w:t xml:space="preserve">redução </w:t>
      </w:r>
      <w:r w:rsidR="002C4C86" w:rsidRPr="00B33AE5">
        <w:rPr>
          <w:rFonts w:ascii="Gill Sans MT" w:hAnsi="Gill Sans MT" w:cs="Arial"/>
          <w:bCs/>
          <w:sz w:val="22"/>
          <w:szCs w:val="22"/>
        </w:rPr>
        <w:t xml:space="preserve">da arrecadação </w:t>
      </w:r>
      <w:r w:rsidRPr="00B33AE5">
        <w:rPr>
          <w:rFonts w:ascii="Gill Sans MT" w:hAnsi="Gill Sans MT" w:cs="Arial"/>
          <w:bCs/>
          <w:sz w:val="22"/>
          <w:szCs w:val="22"/>
        </w:rPr>
        <w:t xml:space="preserve">de fracionados </w:t>
      </w:r>
      <w:r w:rsidR="00E124EE" w:rsidRPr="00B33AE5">
        <w:rPr>
          <w:rFonts w:ascii="Gill Sans MT" w:hAnsi="Gill Sans MT" w:cs="Arial"/>
          <w:bCs/>
          <w:sz w:val="22"/>
          <w:szCs w:val="22"/>
        </w:rPr>
        <w:t>da redução da alíquota em 2019 e da anulação d</w:t>
      </w:r>
      <w:r w:rsidR="008F40E3" w:rsidRPr="00B33AE5">
        <w:rPr>
          <w:rFonts w:ascii="Gill Sans MT" w:hAnsi="Gill Sans MT" w:cs="Arial"/>
          <w:bCs/>
          <w:sz w:val="22"/>
          <w:szCs w:val="22"/>
        </w:rPr>
        <w:t>e</w:t>
      </w:r>
      <w:r w:rsidR="00E124EE" w:rsidRPr="00B33AE5">
        <w:rPr>
          <w:rFonts w:ascii="Gill Sans MT" w:hAnsi="Gill Sans MT" w:cs="Arial"/>
          <w:bCs/>
          <w:sz w:val="22"/>
          <w:szCs w:val="22"/>
        </w:rPr>
        <w:t xml:space="preserve"> taxa</w:t>
      </w:r>
      <w:r w:rsidR="008F40E3" w:rsidRPr="00B33AE5">
        <w:rPr>
          <w:rFonts w:ascii="Gill Sans MT" w:hAnsi="Gill Sans MT" w:cs="Arial"/>
          <w:bCs/>
          <w:sz w:val="22"/>
          <w:szCs w:val="22"/>
        </w:rPr>
        <w:t>s</w:t>
      </w:r>
      <w:r w:rsidRPr="00B33AE5">
        <w:rPr>
          <w:rFonts w:ascii="Gill Sans MT" w:hAnsi="Gill Sans MT" w:cs="Arial"/>
          <w:bCs/>
          <w:sz w:val="22"/>
          <w:szCs w:val="22"/>
        </w:rPr>
        <w:t xml:space="preserve">, </w:t>
      </w:r>
      <w:r w:rsidR="008F40E3" w:rsidRPr="00B33AE5">
        <w:rPr>
          <w:rFonts w:ascii="Gill Sans MT" w:hAnsi="Gill Sans MT" w:cs="Arial"/>
          <w:bCs/>
          <w:sz w:val="22"/>
          <w:szCs w:val="22"/>
        </w:rPr>
        <w:t xml:space="preserve">associado </w:t>
      </w:r>
      <w:r w:rsidR="00771DBD" w:rsidRPr="00B33AE5">
        <w:rPr>
          <w:rFonts w:ascii="Gill Sans MT" w:hAnsi="Gill Sans MT" w:cs="Arial"/>
          <w:bCs/>
          <w:sz w:val="22"/>
          <w:szCs w:val="22"/>
        </w:rPr>
        <w:t xml:space="preserve">ao impacto do Covid-19 </w:t>
      </w:r>
      <w:r w:rsidR="002C4C86" w:rsidRPr="00B33AE5">
        <w:rPr>
          <w:rFonts w:ascii="Gill Sans MT" w:hAnsi="Gill Sans MT" w:cs="Arial"/>
          <w:bCs/>
          <w:sz w:val="22"/>
          <w:szCs w:val="22"/>
        </w:rPr>
        <w:t>no volume de negócios das empresas</w:t>
      </w:r>
      <w:r w:rsidRPr="00B33AE5">
        <w:rPr>
          <w:rFonts w:ascii="Gill Sans MT" w:hAnsi="Gill Sans MT" w:cs="Arial"/>
          <w:bCs/>
          <w:sz w:val="22"/>
          <w:szCs w:val="22"/>
        </w:rPr>
        <w:t>;</w:t>
      </w:r>
    </w:p>
    <w:p w14:paraId="2C9C0885" w14:textId="5F9F82A2" w:rsidR="00546AB6" w:rsidRPr="002F331E" w:rsidRDefault="00546AB6" w:rsidP="00546AB6">
      <w:pPr>
        <w:pStyle w:val="PargrafodaLista"/>
        <w:numPr>
          <w:ilvl w:val="0"/>
          <w:numId w:val="19"/>
        </w:numPr>
        <w:spacing w:line="360" w:lineRule="auto"/>
        <w:ind w:left="777" w:hanging="357"/>
        <w:jc w:val="both"/>
        <w:textAlignment w:val="auto"/>
        <w:rPr>
          <w:rFonts w:ascii="Gill Sans MT" w:hAnsi="Gill Sans MT" w:cs="Arial"/>
          <w:bCs/>
        </w:rPr>
      </w:pPr>
      <w:r w:rsidRPr="002F331E">
        <w:rPr>
          <w:rFonts w:ascii="Gill Sans MT" w:hAnsi="Gill Sans MT" w:cs="Arial"/>
          <w:bCs/>
          <w:sz w:val="22"/>
          <w:szCs w:val="22"/>
        </w:rPr>
        <w:t xml:space="preserve">Imposto sobre </w:t>
      </w:r>
      <w:r w:rsidR="008A664D" w:rsidRPr="002F331E">
        <w:rPr>
          <w:rFonts w:ascii="Gill Sans MT" w:hAnsi="Gill Sans MT" w:cs="Arial"/>
          <w:bCs/>
          <w:sz w:val="22"/>
          <w:szCs w:val="22"/>
        </w:rPr>
        <w:t>bens e serviços</w:t>
      </w:r>
      <w:r w:rsidRPr="002F331E">
        <w:rPr>
          <w:rFonts w:ascii="Gill Sans MT" w:hAnsi="Gill Sans MT" w:cs="Arial"/>
          <w:bCs/>
          <w:sz w:val="22"/>
          <w:szCs w:val="22"/>
        </w:rPr>
        <w:t>:</w:t>
      </w:r>
      <w:r w:rsidR="008A664D" w:rsidRPr="002F331E">
        <w:rPr>
          <w:rFonts w:ascii="Gill Sans MT" w:hAnsi="Gill Sans MT" w:cs="Arial"/>
          <w:bCs/>
          <w:sz w:val="22"/>
          <w:szCs w:val="22"/>
        </w:rPr>
        <w:t xml:space="preserve"> </w:t>
      </w:r>
      <w:r w:rsidRPr="002F331E">
        <w:rPr>
          <w:rFonts w:ascii="Gill Sans MT" w:hAnsi="Gill Sans MT" w:cs="Arial"/>
          <w:bCs/>
          <w:sz w:val="22"/>
          <w:szCs w:val="22"/>
        </w:rPr>
        <w:t>o IVA-</w:t>
      </w:r>
      <w:r w:rsidR="00FC1071" w:rsidRPr="002F331E">
        <w:rPr>
          <w:rFonts w:ascii="Gill Sans MT" w:hAnsi="Gill Sans MT" w:cs="Arial"/>
          <w:bCs/>
          <w:sz w:val="22"/>
          <w:szCs w:val="22"/>
        </w:rPr>
        <w:t xml:space="preserve">DGA e </w:t>
      </w:r>
      <w:r w:rsidRPr="002F331E">
        <w:rPr>
          <w:rFonts w:ascii="Gill Sans MT" w:hAnsi="Gill Sans MT" w:cs="Arial"/>
          <w:bCs/>
          <w:sz w:val="22"/>
          <w:szCs w:val="22"/>
        </w:rPr>
        <w:t>o IVA-DG</w:t>
      </w:r>
      <w:r w:rsidR="00FC1071" w:rsidRPr="002F331E">
        <w:rPr>
          <w:rFonts w:ascii="Gill Sans MT" w:hAnsi="Gill Sans MT" w:cs="Arial"/>
          <w:bCs/>
          <w:sz w:val="22"/>
          <w:szCs w:val="22"/>
        </w:rPr>
        <w:t>CI</w:t>
      </w:r>
      <w:r w:rsidRPr="002F331E">
        <w:rPr>
          <w:rFonts w:ascii="Gill Sans MT" w:hAnsi="Gill Sans MT" w:cs="Arial"/>
          <w:bCs/>
          <w:sz w:val="22"/>
          <w:szCs w:val="22"/>
        </w:rPr>
        <w:t xml:space="preserve"> </w:t>
      </w:r>
      <w:r w:rsidR="003233AA" w:rsidRPr="002F331E">
        <w:rPr>
          <w:rFonts w:ascii="Gill Sans MT" w:hAnsi="Gill Sans MT" w:cs="Arial"/>
          <w:bCs/>
          <w:sz w:val="22"/>
          <w:szCs w:val="22"/>
        </w:rPr>
        <w:t>diminuíram 19,3% e 3</w:t>
      </w:r>
      <w:r w:rsidR="004F28AB">
        <w:rPr>
          <w:rFonts w:ascii="Gill Sans MT" w:hAnsi="Gill Sans MT" w:cs="Arial"/>
          <w:bCs/>
          <w:sz w:val="22"/>
          <w:szCs w:val="22"/>
        </w:rPr>
        <w:t>0</w:t>
      </w:r>
      <w:r w:rsidR="003233AA" w:rsidRPr="002F331E">
        <w:rPr>
          <w:rFonts w:ascii="Gill Sans MT" w:hAnsi="Gill Sans MT" w:cs="Arial"/>
          <w:bCs/>
          <w:sz w:val="22"/>
          <w:szCs w:val="22"/>
        </w:rPr>
        <w:t>,</w:t>
      </w:r>
      <w:r w:rsidR="004F28AB">
        <w:rPr>
          <w:rFonts w:ascii="Gill Sans MT" w:hAnsi="Gill Sans MT" w:cs="Arial"/>
          <w:bCs/>
          <w:sz w:val="22"/>
          <w:szCs w:val="22"/>
        </w:rPr>
        <w:t xml:space="preserve">0% </w:t>
      </w:r>
      <w:r w:rsidR="003233AA" w:rsidRPr="002F331E">
        <w:rPr>
          <w:rFonts w:ascii="Gill Sans MT" w:hAnsi="Gill Sans MT" w:cs="Arial"/>
          <w:bCs/>
          <w:sz w:val="22"/>
          <w:szCs w:val="22"/>
        </w:rPr>
        <w:t xml:space="preserve">respetivamente, </w:t>
      </w:r>
      <w:r w:rsidR="00FC1071" w:rsidRPr="002F331E">
        <w:rPr>
          <w:rFonts w:ascii="Gill Sans MT" w:hAnsi="Gill Sans MT" w:cs="Arial"/>
          <w:bCs/>
          <w:sz w:val="22"/>
          <w:szCs w:val="22"/>
        </w:rPr>
        <w:t>face ao período homólogo</w:t>
      </w:r>
      <w:r w:rsidR="00B96F3D" w:rsidRPr="002F331E">
        <w:rPr>
          <w:rFonts w:ascii="Gill Sans MT" w:hAnsi="Gill Sans MT" w:cs="Arial"/>
          <w:bCs/>
          <w:sz w:val="22"/>
          <w:szCs w:val="22"/>
        </w:rPr>
        <w:t xml:space="preserve">, </w:t>
      </w:r>
      <w:r w:rsidR="006E35CF">
        <w:rPr>
          <w:rFonts w:ascii="Gill Sans MT" w:hAnsi="Gill Sans MT" w:cs="Arial"/>
          <w:bCs/>
          <w:sz w:val="22"/>
          <w:szCs w:val="22"/>
        </w:rPr>
        <w:t xml:space="preserve">da redução da importação e dos preços dos bens importados, </w:t>
      </w:r>
      <w:r w:rsidR="008F40E3">
        <w:rPr>
          <w:rFonts w:ascii="Gill Sans MT" w:hAnsi="Gill Sans MT" w:cs="Arial"/>
          <w:bCs/>
          <w:sz w:val="22"/>
          <w:szCs w:val="22"/>
        </w:rPr>
        <w:t>da redução</w:t>
      </w:r>
      <w:r w:rsidR="002C6CDF" w:rsidRPr="002F331E">
        <w:rPr>
          <w:rFonts w:ascii="Gill Sans MT" w:hAnsi="Gill Sans MT" w:cs="Arial"/>
          <w:bCs/>
          <w:sz w:val="22"/>
          <w:szCs w:val="22"/>
        </w:rPr>
        <w:t xml:space="preserve"> </w:t>
      </w:r>
      <w:r w:rsidR="006E35CF">
        <w:rPr>
          <w:rFonts w:ascii="Gill Sans MT" w:hAnsi="Gill Sans MT" w:cs="Arial"/>
          <w:bCs/>
          <w:sz w:val="22"/>
          <w:szCs w:val="22"/>
        </w:rPr>
        <w:t>d</w:t>
      </w:r>
      <w:r w:rsidR="006E35CF" w:rsidRPr="002F331E">
        <w:rPr>
          <w:rFonts w:ascii="Gill Sans MT" w:hAnsi="Gill Sans MT" w:cs="Arial"/>
          <w:bCs/>
          <w:sz w:val="22"/>
          <w:szCs w:val="22"/>
        </w:rPr>
        <w:t xml:space="preserve">a </w:t>
      </w:r>
      <w:r w:rsidR="00E64A9F" w:rsidRPr="002F331E">
        <w:rPr>
          <w:rFonts w:ascii="Gill Sans MT" w:hAnsi="Gill Sans MT" w:cs="Arial"/>
          <w:bCs/>
          <w:sz w:val="22"/>
          <w:szCs w:val="22"/>
        </w:rPr>
        <w:t>procura turística</w:t>
      </w:r>
      <w:r w:rsidR="006E35CF">
        <w:rPr>
          <w:rFonts w:ascii="Gill Sans MT" w:hAnsi="Gill Sans MT" w:cs="Arial"/>
          <w:bCs/>
          <w:sz w:val="22"/>
          <w:szCs w:val="22"/>
        </w:rPr>
        <w:t>, medidas de distanciamento</w:t>
      </w:r>
      <w:r w:rsidR="00B96F3D" w:rsidRPr="002F331E">
        <w:rPr>
          <w:rFonts w:ascii="Gill Sans MT" w:hAnsi="Gill Sans MT" w:cs="Arial"/>
          <w:bCs/>
          <w:sz w:val="22"/>
          <w:szCs w:val="22"/>
        </w:rPr>
        <w:t xml:space="preserve"> e</w:t>
      </w:r>
      <w:r w:rsidR="00946845" w:rsidRPr="002F331E">
        <w:rPr>
          <w:rFonts w:ascii="Gill Sans MT" w:hAnsi="Gill Sans MT" w:cs="Arial"/>
          <w:bCs/>
          <w:sz w:val="22"/>
          <w:szCs w:val="22"/>
        </w:rPr>
        <w:t xml:space="preserve"> da implementação</w:t>
      </w:r>
      <w:r w:rsidR="00B96F3D" w:rsidRPr="002F331E">
        <w:rPr>
          <w:rFonts w:ascii="Gill Sans MT" w:hAnsi="Gill Sans MT" w:cs="Arial"/>
          <w:bCs/>
          <w:sz w:val="22"/>
          <w:szCs w:val="22"/>
        </w:rPr>
        <w:t xml:space="preserve"> das medidas excecionais para auxiliar as famílias</w:t>
      </w:r>
      <w:r w:rsidR="00C0510F" w:rsidRPr="002F331E">
        <w:rPr>
          <w:rFonts w:ascii="Gill Sans MT" w:hAnsi="Gill Sans MT" w:cs="Arial"/>
          <w:bCs/>
          <w:sz w:val="22"/>
          <w:szCs w:val="22"/>
        </w:rPr>
        <w:t xml:space="preserve"> e empresas</w:t>
      </w:r>
      <w:r w:rsidRPr="002F331E">
        <w:rPr>
          <w:rFonts w:ascii="Gill Sans MT" w:hAnsi="Gill Sans MT" w:cs="Arial"/>
          <w:bCs/>
          <w:sz w:val="22"/>
          <w:szCs w:val="22"/>
        </w:rPr>
        <w:t>;</w:t>
      </w:r>
    </w:p>
    <w:p w14:paraId="518ACF0D" w14:textId="7ED562DD" w:rsidR="00546AB6" w:rsidRPr="002F331E" w:rsidRDefault="00546AB6" w:rsidP="00546AB6">
      <w:pPr>
        <w:pStyle w:val="PargrafodaLista"/>
        <w:numPr>
          <w:ilvl w:val="0"/>
          <w:numId w:val="19"/>
        </w:numPr>
        <w:spacing w:line="360" w:lineRule="auto"/>
        <w:ind w:left="777" w:hanging="357"/>
        <w:jc w:val="both"/>
        <w:textAlignment w:val="auto"/>
        <w:rPr>
          <w:rFonts w:ascii="Gill Sans MT" w:hAnsi="Gill Sans MT" w:cs="Arial"/>
          <w:bCs/>
          <w:sz w:val="22"/>
          <w:szCs w:val="22"/>
        </w:rPr>
      </w:pPr>
      <w:r w:rsidRPr="002F331E">
        <w:rPr>
          <w:rFonts w:ascii="Gill Sans MT" w:hAnsi="Gill Sans MT" w:cs="Arial"/>
          <w:bCs/>
          <w:sz w:val="22"/>
          <w:szCs w:val="22"/>
        </w:rPr>
        <w:t>Imposto sobre transações internacionais</w:t>
      </w:r>
      <w:r w:rsidR="00FC1071" w:rsidRPr="002F331E">
        <w:rPr>
          <w:rFonts w:ascii="Gill Sans MT" w:hAnsi="Gill Sans MT" w:cs="Arial"/>
          <w:bCs/>
          <w:sz w:val="22"/>
          <w:szCs w:val="22"/>
        </w:rPr>
        <w:t>:</w:t>
      </w:r>
      <w:r w:rsidR="00B96F3D" w:rsidRPr="002F331E">
        <w:rPr>
          <w:rFonts w:ascii="Gill Sans MT" w:hAnsi="Gill Sans MT" w:cs="Arial"/>
          <w:bCs/>
          <w:sz w:val="22"/>
          <w:szCs w:val="22"/>
        </w:rPr>
        <w:t xml:space="preserve"> derivado da</w:t>
      </w:r>
      <w:r w:rsidRPr="002F331E">
        <w:rPr>
          <w:rFonts w:ascii="Gill Sans MT" w:hAnsi="Gill Sans MT" w:cs="Arial"/>
          <w:bCs/>
          <w:sz w:val="22"/>
          <w:szCs w:val="22"/>
        </w:rPr>
        <w:t xml:space="preserve"> </w:t>
      </w:r>
      <w:r w:rsidR="00B96F3D" w:rsidRPr="002F331E">
        <w:rPr>
          <w:rFonts w:ascii="Gill Sans MT" w:hAnsi="Gill Sans MT" w:cs="Arial"/>
          <w:bCs/>
          <w:sz w:val="22"/>
          <w:szCs w:val="22"/>
        </w:rPr>
        <w:t>redução</w:t>
      </w:r>
      <w:r w:rsidRPr="002F331E">
        <w:rPr>
          <w:rFonts w:ascii="Gill Sans MT" w:hAnsi="Gill Sans MT" w:cs="Arial"/>
          <w:bCs/>
          <w:sz w:val="22"/>
          <w:szCs w:val="22"/>
        </w:rPr>
        <w:t xml:space="preserve"> </w:t>
      </w:r>
      <w:r w:rsidR="003A2D72" w:rsidRPr="002F331E">
        <w:rPr>
          <w:rFonts w:ascii="Gill Sans MT" w:hAnsi="Gill Sans MT" w:cs="Arial"/>
          <w:bCs/>
          <w:sz w:val="22"/>
          <w:szCs w:val="22"/>
        </w:rPr>
        <w:t>das importações</w:t>
      </w:r>
      <w:r w:rsidR="00BF2F8F" w:rsidRPr="002F331E">
        <w:rPr>
          <w:rFonts w:ascii="Gill Sans MT" w:hAnsi="Gill Sans MT" w:cs="Arial"/>
          <w:bCs/>
          <w:sz w:val="22"/>
          <w:szCs w:val="22"/>
        </w:rPr>
        <w:t>, nomeadamente de bens de consumo</w:t>
      </w:r>
      <w:r w:rsidR="003A2D72" w:rsidRPr="002F331E">
        <w:rPr>
          <w:rFonts w:ascii="Gill Sans MT" w:hAnsi="Gill Sans MT" w:cs="Arial"/>
          <w:bCs/>
          <w:sz w:val="22"/>
          <w:szCs w:val="22"/>
        </w:rPr>
        <w:t xml:space="preserve"> e dos combustíveis</w:t>
      </w:r>
      <w:r w:rsidRPr="002F331E">
        <w:rPr>
          <w:rFonts w:ascii="Gill Sans MT" w:hAnsi="Gill Sans MT" w:cs="Arial"/>
          <w:bCs/>
          <w:sz w:val="22"/>
          <w:szCs w:val="22"/>
        </w:rPr>
        <w:t>;</w:t>
      </w:r>
    </w:p>
    <w:p w14:paraId="0F6D23F9" w14:textId="37F63B3B" w:rsidR="00615DDE" w:rsidRDefault="00546AB6" w:rsidP="00546AB6">
      <w:pPr>
        <w:pStyle w:val="PargrafodaLista"/>
        <w:numPr>
          <w:ilvl w:val="0"/>
          <w:numId w:val="19"/>
        </w:numPr>
        <w:spacing w:line="360" w:lineRule="auto"/>
        <w:ind w:left="777" w:hanging="357"/>
        <w:jc w:val="both"/>
        <w:textAlignment w:val="auto"/>
        <w:rPr>
          <w:rFonts w:ascii="Gill Sans MT" w:hAnsi="Gill Sans MT" w:cs="Arial"/>
          <w:bCs/>
          <w:sz w:val="22"/>
          <w:szCs w:val="22"/>
        </w:rPr>
      </w:pPr>
      <w:r w:rsidRPr="002F331E">
        <w:rPr>
          <w:rFonts w:ascii="Gill Sans MT" w:hAnsi="Gill Sans MT" w:cs="Arial"/>
          <w:bCs/>
          <w:sz w:val="22"/>
          <w:szCs w:val="22"/>
        </w:rPr>
        <w:t xml:space="preserve">Imposto </w:t>
      </w:r>
      <w:r w:rsidR="00EF6E9B">
        <w:rPr>
          <w:rFonts w:ascii="Gill Sans MT" w:hAnsi="Gill Sans MT" w:cs="Arial"/>
          <w:bCs/>
          <w:sz w:val="22"/>
          <w:szCs w:val="22"/>
        </w:rPr>
        <w:t xml:space="preserve">sobre </w:t>
      </w:r>
      <w:r w:rsidRPr="002F331E">
        <w:rPr>
          <w:rFonts w:ascii="Gill Sans MT" w:hAnsi="Gill Sans MT" w:cs="Arial"/>
          <w:bCs/>
          <w:sz w:val="22"/>
          <w:szCs w:val="22"/>
        </w:rPr>
        <w:t>consumo especial</w:t>
      </w:r>
      <w:r w:rsidR="002C6CDF" w:rsidRPr="002F331E">
        <w:rPr>
          <w:rFonts w:ascii="Gill Sans MT" w:hAnsi="Gill Sans MT" w:cs="Arial"/>
          <w:bCs/>
          <w:sz w:val="22"/>
          <w:szCs w:val="22"/>
        </w:rPr>
        <w:t xml:space="preserve"> e da Taxa ecológica</w:t>
      </w:r>
      <w:r w:rsidR="00FC1071" w:rsidRPr="002F331E">
        <w:rPr>
          <w:rFonts w:ascii="Gill Sans MT" w:hAnsi="Gill Sans MT" w:cs="Arial"/>
          <w:bCs/>
          <w:sz w:val="22"/>
          <w:szCs w:val="22"/>
        </w:rPr>
        <w:t>:</w:t>
      </w:r>
      <w:r w:rsidRPr="002F331E">
        <w:rPr>
          <w:rFonts w:ascii="Gill Sans MT" w:hAnsi="Gill Sans MT" w:cs="Arial"/>
          <w:bCs/>
          <w:sz w:val="22"/>
          <w:szCs w:val="22"/>
        </w:rPr>
        <w:t xml:space="preserve"> </w:t>
      </w:r>
      <w:r w:rsidR="002C6CDF" w:rsidRPr="002F331E">
        <w:rPr>
          <w:rFonts w:ascii="Gill Sans MT" w:hAnsi="Gill Sans MT" w:cs="Arial"/>
          <w:bCs/>
          <w:sz w:val="22"/>
          <w:szCs w:val="22"/>
        </w:rPr>
        <w:t>na sequência da redução das importações, particularmente de bebidas alcoólicas e Tabaco</w:t>
      </w:r>
      <w:r w:rsidRPr="002F331E">
        <w:rPr>
          <w:rFonts w:ascii="Gill Sans MT" w:hAnsi="Gill Sans MT" w:cs="Arial"/>
          <w:bCs/>
          <w:sz w:val="22"/>
          <w:szCs w:val="22"/>
        </w:rPr>
        <w:t>.</w:t>
      </w:r>
    </w:p>
    <w:p w14:paraId="1979C63E" w14:textId="0810C733" w:rsidR="00DE4728" w:rsidRPr="002F331E" w:rsidRDefault="00DE4728" w:rsidP="00546AB6">
      <w:pPr>
        <w:pStyle w:val="PargrafodaLista"/>
        <w:numPr>
          <w:ilvl w:val="0"/>
          <w:numId w:val="19"/>
        </w:numPr>
        <w:spacing w:line="360" w:lineRule="auto"/>
        <w:ind w:left="777" w:hanging="357"/>
        <w:jc w:val="both"/>
        <w:textAlignment w:val="auto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Impostos diversos sobre serviços: </w:t>
      </w:r>
      <w:r w:rsidR="000941F2">
        <w:rPr>
          <w:rFonts w:ascii="Gill Sans MT" w:hAnsi="Gill Sans MT" w:cs="Arial"/>
          <w:bCs/>
          <w:sz w:val="22"/>
          <w:szCs w:val="22"/>
        </w:rPr>
        <w:t xml:space="preserve">a arrecadação em sede da contribuição turística caiu 70,1% face ao período homólogo, uma vez que essa receita advém diretamente do fluxo </w:t>
      </w:r>
      <w:r w:rsidR="000941F2">
        <w:rPr>
          <w:rFonts w:ascii="Gill Sans MT" w:hAnsi="Gill Sans MT" w:cs="Arial"/>
          <w:bCs/>
          <w:sz w:val="22"/>
          <w:szCs w:val="22"/>
        </w:rPr>
        <w:lastRenderedPageBreak/>
        <w:t>de turismo, nomeadamente de dormidas, que caíram drasticamente desde o início da pandemia, com o consequente fechamento de fronteiras do país.</w:t>
      </w:r>
    </w:p>
    <w:p w14:paraId="4AEB37DA" w14:textId="4783D14A" w:rsidR="00546AB6" w:rsidRDefault="00615DDE" w:rsidP="00546AB6">
      <w:pPr>
        <w:pStyle w:val="PargrafodaLista"/>
        <w:numPr>
          <w:ilvl w:val="0"/>
          <w:numId w:val="19"/>
        </w:numPr>
        <w:spacing w:line="360" w:lineRule="auto"/>
        <w:ind w:left="777" w:hanging="357"/>
        <w:jc w:val="both"/>
        <w:textAlignment w:val="auto"/>
        <w:rPr>
          <w:rFonts w:ascii="Gill Sans MT" w:hAnsi="Gill Sans MT" w:cs="Arial"/>
          <w:bCs/>
          <w:sz w:val="22"/>
          <w:szCs w:val="22"/>
        </w:rPr>
      </w:pPr>
      <w:r w:rsidRPr="00497E6F">
        <w:rPr>
          <w:rFonts w:ascii="Gill Sans MT" w:hAnsi="Gill Sans MT" w:cs="Arial"/>
          <w:bCs/>
          <w:sz w:val="22"/>
          <w:szCs w:val="22"/>
        </w:rPr>
        <w:t xml:space="preserve">Outros Impostos: tendo o imposto </w:t>
      </w:r>
      <w:r w:rsidR="0021627F" w:rsidRPr="00497E6F">
        <w:rPr>
          <w:rFonts w:ascii="Gill Sans MT" w:hAnsi="Gill Sans MT" w:cs="Arial"/>
          <w:bCs/>
          <w:sz w:val="22"/>
          <w:szCs w:val="22"/>
        </w:rPr>
        <w:t>especial sobre jogos</w:t>
      </w:r>
      <w:r w:rsidRPr="00497E6F">
        <w:rPr>
          <w:rFonts w:ascii="Gill Sans MT" w:hAnsi="Gill Sans MT" w:cs="Arial"/>
          <w:bCs/>
          <w:sz w:val="22"/>
          <w:szCs w:val="22"/>
        </w:rPr>
        <w:t xml:space="preserve"> diminuído </w:t>
      </w:r>
      <w:r w:rsidR="00A061A7" w:rsidRPr="00497E6F">
        <w:rPr>
          <w:rFonts w:ascii="Gill Sans MT" w:hAnsi="Gill Sans MT" w:cs="Arial"/>
          <w:bCs/>
          <w:sz w:val="22"/>
          <w:szCs w:val="22"/>
        </w:rPr>
        <w:t>21</w:t>
      </w:r>
      <w:r w:rsidRPr="00497E6F">
        <w:rPr>
          <w:rFonts w:ascii="Gill Sans MT" w:hAnsi="Gill Sans MT" w:cs="Arial"/>
          <w:bCs/>
          <w:sz w:val="22"/>
          <w:szCs w:val="22"/>
        </w:rPr>
        <w:t>,</w:t>
      </w:r>
      <w:r w:rsidR="00A061A7" w:rsidRPr="00497E6F">
        <w:rPr>
          <w:rFonts w:ascii="Gill Sans MT" w:hAnsi="Gill Sans MT" w:cs="Arial"/>
          <w:bCs/>
          <w:sz w:val="22"/>
          <w:szCs w:val="22"/>
        </w:rPr>
        <w:t>3</w:t>
      </w:r>
      <w:r w:rsidRPr="00497E6F">
        <w:rPr>
          <w:rFonts w:ascii="Gill Sans MT" w:hAnsi="Gill Sans MT" w:cs="Arial"/>
          <w:bCs/>
          <w:sz w:val="22"/>
          <w:szCs w:val="22"/>
        </w:rPr>
        <w:t xml:space="preserve">%, </w:t>
      </w:r>
      <w:r w:rsidR="0033510A">
        <w:rPr>
          <w:rFonts w:ascii="Gill Sans MT" w:hAnsi="Gill Sans MT" w:cs="Arial"/>
          <w:bCs/>
          <w:sz w:val="22"/>
          <w:szCs w:val="22"/>
        </w:rPr>
        <w:t>devido</w:t>
      </w:r>
      <w:r w:rsidR="00C106A4" w:rsidRPr="00497E6F">
        <w:rPr>
          <w:rFonts w:ascii="Gill Sans MT" w:hAnsi="Gill Sans MT" w:cs="Arial"/>
          <w:bCs/>
          <w:sz w:val="22"/>
          <w:szCs w:val="22"/>
        </w:rPr>
        <w:t xml:space="preserve"> </w:t>
      </w:r>
      <w:r w:rsidR="0033510A">
        <w:rPr>
          <w:rFonts w:ascii="Gill Sans MT" w:hAnsi="Gill Sans MT" w:cs="Arial"/>
          <w:bCs/>
          <w:sz w:val="22"/>
          <w:szCs w:val="22"/>
        </w:rPr>
        <w:t>a</w:t>
      </w:r>
      <w:r w:rsidRPr="00497E6F">
        <w:rPr>
          <w:rFonts w:ascii="Gill Sans MT" w:hAnsi="Gill Sans MT" w:cs="Arial"/>
          <w:bCs/>
          <w:sz w:val="22"/>
          <w:szCs w:val="22"/>
        </w:rPr>
        <w:t>o impacto da pandemia na atividade turística das ilhas do Sal e Boavista, onde maior parte desse imposto é proveniente</w:t>
      </w:r>
      <w:r w:rsidR="00A061A7" w:rsidRPr="00497E6F">
        <w:rPr>
          <w:rFonts w:ascii="Gill Sans MT" w:hAnsi="Gill Sans MT" w:cs="Arial"/>
          <w:bCs/>
          <w:sz w:val="22"/>
          <w:szCs w:val="22"/>
        </w:rPr>
        <w:t>.</w:t>
      </w:r>
    </w:p>
    <w:p w14:paraId="357DFB9F" w14:textId="77777777" w:rsidR="00317EA8" w:rsidRPr="00497E6F" w:rsidRDefault="00317EA8" w:rsidP="00317EA8">
      <w:pPr>
        <w:pStyle w:val="PargrafodaLista"/>
        <w:spacing w:line="360" w:lineRule="auto"/>
        <w:ind w:left="777"/>
        <w:jc w:val="both"/>
        <w:textAlignment w:val="auto"/>
        <w:rPr>
          <w:rFonts w:ascii="Gill Sans MT" w:hAnsi="Gill Sans MT" w:cs="Arial"/>
          <w:bCs/>
          <w:sz w:val="22"/>
          <w:szCs w:val="22"/>
        </w:rPr>
      </w:pPr>
    </w:p>
    <w:p w14:paraId="1B4D6D08" w14:textId="2700D5DB" w:rsidR="006632AB" w:rsidRPr="00FF39BB" w:rsidRDefault="00546AB6" w:rsidP="00546AB6">
      <w:pPr>
        <w:spacing w:line="360" w:lineRule="auto"/>
        <w:jc w:val="both"/>
        <w:rPr>
          <w:rFonts w:ascii="Gill Sans MT" w:hAnsi="Gill Sans MT" w:cs="Arial"/>
          <w:bCs/>
        </w:rPr>
      </w:pPr>
      <w:r w:rsidRPr="00FF39BB">
        <w:rPr>
          <w:rFonts w:ascii="Gill Sans MT" w:hAnsi="Gill Sans MT" w:cs="Arial"/>
          <w:bCs/>
        </w:rPr>
        <w:t xml:space="preserve">As outras receitas </w:t>
      </w:r>
      <w:r w:rsidR="008871FD" w:rsidRPr="00FF39BB">
        <w:rPr>
          <w:rFonts w:ascii="Gill Sans MT" w:hAnsi="Gill Sans MT" w:cs="Arial"/>
          <w:bCs/>
        </w:rPr>
        <w:t>reduziram</w:t>
      </w:r>
      <w:r w:rsidR="00D01E6E" w:rsidRPr="00FF39BB">
        <w:rPr>
          <w:rFonts w:ascii="Gill Sans MT" w:hAnsi="Gill Sans MT" w:cs="Arial"/>
          <w:bCs/>
        </w:rPr>
        <w:t xml:space="preserve"> </w:t>
      </w:r>
      <w:r w:rsidR="008871FD" w:rsidRPr="00FF39BB">
        <w:rPr>
          <w:rFonts w:ascii="Gill Sans MT" w:hAnsi="Gill Sans MT" w:cs="Arial"/>
          <w:bCs/>
        </w:rPr>
        <w:t>3</w:t>
      </w:r>
      <w:r w:rsidR="005A59F1">
        <w:rPr>
          <w:rFonts w:ascii="Gill Sans MT" w:hAnsi="Gill Sans MT" w:cs="Arial"/>
          <w:bCs/>
        </w:rPr>
        <w:t>1</w:t>
      </w:r>
      <w:r w:rsidRPr="00FF39BB">
        <w:rPr>
          <w:rFonts w:ascii="Gill Sans MT" w:hAnsi="Gill Sans MT" w:cs="Arial"/>
          <w:bCs/>
        </w:rPr>
        <w:t>,</w:t>
      </w:r>
      <w:r w:rsidR="005A59F1">
        <w:rPr>
          <w:rFonts w:ascii="Gill Sans MT" w:hAnsi="Gill Sans MT" w:cs="Arial"/>
          <w:bCs/>
        </w:rPr>
        <w:t>2</w:t>
      </w:r>
      <w:r w:rsidRPr="00FF39BB">
        <w:rPr>
          <w:rFonts w:ascii="Gill Sans MT" w:hAnsi="Gill Sans MT" w:cs="Arial"/>
          <w:bCs/>
        </w:rPr>
        <w:t>%</w:t>
      </w:r>
      <w:r w:rsidR="00F815E1" w:rsidRPr="00FF39BB">
        <w:rPr>
          <w:rFonts w:ascii="Gill Sans MT" w:hAnsi="Gill Sans MT" w:cs="Arial"/>
          <w:bCs/>
        </w:rPr>
        <w:t>,</w:t>
      </w:r>
      <w:r w:rsidRPr="00FF39BB">
        <w:rPr>
          <w:rFonts w:ascii="Gill Sans MT" w:hAnsi="Gill Sans MT" w:cs="Arial"/>
          <w:bCs/>
        </w:rPr>
        <w:t xml:space="preserve"> deriva</w:t>
      </w:r>
      <w:r w:rsidR="00F815E1" w:rsidRPr="00FF39BB">
        <w:rPr>
          <w:rFonts w:ascii="Gill Sans MT" w:hAnsi="Gill Sans MT" w:cs="Arial"/>
          <w:bCs/>
        </w:rPr>
        <w:t>do</w:t>
      </w:r>
      <w:r w:rsidRPr="00FF39BB">
        <w:rPr>
          <w:rFonts w:ascii="Gill Sans MT" w:hAnsi="Gill Sans MT" w:cs="Arial"/>
          <w:bCs/>
        </w:rPr>
        <w:t xml:space="preserve"> </w:t>
      </w:r>
      <w:r w:rsidR="007A79E5" w:rsidRPr="00FF39BB">
        <w:rPr>
          <w:rFonts w:ascii="Gill Sans MT" w:hAnsi="Gill Sans MT" w:cs="Arial"/>
          <w:bCs/>
        </w:rPr>
        <w:t xml:space="preserve">das </w:t>
      </w:r>
      <w:r w:rsidR="008871FD" w:rsidRPr="00FF39BB">
        <w:rPr>
          <w:rFonts w:ascii="Gill Sans MT" w:hAnsi="Gill Sans MT" w:cs="Arial"/>
          <w:bCs/>
        </w:rPr>
        <w:t>performances negativas registas</w:t>
      </w:r>
      <w:r w:rsidR="00615DDE" w:rsidRPr="00FF39BB">
        <w:rPr>
          <w:rFonts w:ascii="Gill Sans MT" w:hAnsi="Gill Sans MT" w:cs="Arial"/>
          <w:bCs/>
        </w:rPr>
        <w:t xml:space="preserve"> n</w:t>
      </w:r>
      <w:r w:rsidRPr="00FF39BB">
        <w:rPr>
          <w:rFonts w:ascii="Gill Sans MT" w:hAnsi="Gill Sans MT" w:cs="Arial"/>
          <w:bCs/>
        </w:rPr>
        <w:t xml:space="preserve">as </w:t>
      </w:r>
      <w:r w:rsidR="006E35CF" w:rsidRPr="00FF39BB">
        <w:rPr>
          <w:rFonts w:ascii="Gill Sans MT" w:hAnsi="Gill Sans MT" w:cs="Arial"/>
          <w:bCs/>
        </w:rPr>
        <w:t>r</w:t>
      </w:r>
      <w:r w:rsidR="0033510A">
        <w:rPr>
          <w:rFonts w:ascii="Gill Sans MT" w:hAnsi="Gill Sans MT" w:cs="Arial"/>
          <w:bCs/>
        </w:rPr>
        <w:t>u</w:t>
      </w:r>
      <w:r w:rsidR="006E35CF" w:rsidRPr="00FF39BB">
        <w:rPr>
          <w:rFonts w:ascii="Gill Sans MT" w:hAnsi="Gill Sans MT" w:cs="Arial"/>
          <w:bCs/>
        </w:rPr>
        <w:t xml:space="preserve">bricas </w:t>
      </w:r>
      <w:r w:rsidRPr="00FF39BB">
        <w:rPr>
          <w:rFonts w:ascii="Gill Sans MT" w:hAnsi="Gill Sans MT" w:cs="Arial"/>
          <w:bCs/>
        </w:rPr>
        <w:t>de rendimento de propriedade</w:t>
      </w:r>
      <w:r w:rsidR="00D01E6E" w:rsidRPr="00FF39BB">
        <w:rPr>
          <w:rFonts w:ascii="Gill Sans MT" w:hAnsi="Gill Sans MT" w:cs="Arial"/>
          <w:bCs/>
        </w:rPr>
        <w:t xml:space="preserve"> (-</w:t>
      </w:r>
      <w:r w:rsidR="007F1C6F">
        <w:rPr>
          <w:rFonts w:ascii="Gill Sans MT" w:hAnsi="Gill Sans MT" w:cs="Arial"/>
          <w:bCs/>
        </w:rPr>
        <w:t>50</w:t>
      </w:r>
      <w:r w:rsidR="00F815E1" w:rsidRPr="00FF39BB">
        <w:rPr>
          <w:rFonts w:ascii="Gill Sans MT" w:hAnsi="Gill Sans MT" w:cs="Arial"/>
          <w:bCs/>
        </w:rPr>
        <w:t>,</w:t>
      </w:r>
      <w:r w:rsidR="008871FD" w:rsidRPr="00FF39BB">
        <w:rPr>
          <w:rFonts w:ascii="Gill Sans MT" w:hAnsi="Gill Sans MT" w:cs="Arial"/>
          <w:bCs/>
        </w:rPr>
        <w:t>8</w:t>
      </w:r>
      <w:r w:rsidR="000C4026" w:rsidRPr="00FF39BB">
        <w:rPr>
          <w:rFonts w:ascii="Gill Sans MT" w:hAnsi="Gill Sans MT" w:cs="Arial"/>
          <w:bCs/>
        </w:rPr>
        <w:t xml:space="preserve"> %), </w:t>
      </w:r>
      <w:r w:rsidR="008871FD" w:rsidRPr="00FF39BB">
        <w:rPr>
          <w:rFonts w:ascii="Gill Sans MT" w:hAnsi="Gill Sans MT" w:cs="Arial"/>
          <w:bCs/>
        </w:rPr>
        <w:t>de</w:t>
      </w:r>
      <w:r w:rsidR="00D01E6E" w:rsidRPr="00FF39BB">
        <w:rPr>
          <w:rFonts w:ascii="Gill Sans MT" w:hAnsi="Gill Sans MT" w:cs="Arial"/>
          <w:bCs/>
        </w:rPr>
        <w:t xml:space="preserve"> venda de bens e serviços (-</w:t>
      </w:r>
      <w:r w:rsidR="008871FD" w:rsidRPr="00FF39BB">
        <w:rPr>
          <w:rFonts w:ascii="Gill Sans MT" w:hAnsi="Gill Sans MT" w:cs="Arial"/>
          <w:bCs/>
        </w:rPr>
        <w:t>39</w:t>
      </w:r>
      <w:r w:rsidR="00F815E1" w:rsidRPr="00FF39BB">
        <w:rPr>
          <w:rFonts w:ascii="Gill Sans MT" w:hAnsi="Gill Sans MT" w:cs="Arial"/>
          <w:bCs/>
        </w:rPr>
        <w:t>,</w:t>
      </w:r>
      <w:r w:rsidR="008871FD" w:rsidRPr="00FF39BB">
        <w:rPr>
          <w:rFonts w:ascii="Gill Sans MT" w:hAnsi="Gill Sans MT" w:cs="Arial"/>
          <w:bCs/>
        </w:rPr>
        <w:t>4</w:t>
      </w:r>
      <w:r w:rsidR="000C4026" w:rsidRPr="00FF39BB">
        <w:rPr>
          <w:rFonts w:ascii="Gill Sans MT" w:hAnsi="Gill Sans MT" w:cs="Arial"/>
          <w:bCs/>
        </w:rPr>
        <w:t>%),</w:t>
      </w:r>
      <w:r w:rsidR="008871FD" w:rsidRPr="00FF39BB">
        <w:rPr>
          <w:rFonts w:ascii="Gill Sans MT" w:hAnsi="Gill Sans MT" w:cs="Arial"/>
          <w:bCs/>
        </w:rPr>
        <w:t xml:space="preserve"> multas e outras penalidades (-51,4%), outras transferências (-66,9%),</w:t>
      </w:r>
      <w:r w:rsidR="000C4026" w:rsidRPr="00FF39BB">
        <w:rPr>
          <w:rFonts w:ascii="Gill Sans MT" w:hAnsi="Gill Sans MT" w:cs="Arial"/>
          <w:bCs/>
        </w:rPr>
        <w:t xml:space="preserve"> sendo</w:t>
      </w:r>
      <w:r w:rsidR="007A16D4" w:rsidRPr="00FF39BB">
        <w:rPr>
          <w:rFonts w:ascii="Gill Sans MT" w:hAnsi="Gill Sans MT" w:cs="Arial"/>
          <w:bCs/>
        </w:rPr>
        <w:t xml:space="preserve"> </w:t>
      </w:r>
      <w:r w:rsidR="006E35CF">
        <w:rPr>
          <w:rFonts w:ascii="Gill Sans MT" w:hAnsi="Gill Sans MT" w:cs="Arial"/>
          <w:bCs/>
        </w:rPr>
        <w:t>afetadas</w:t>
      </w:r>
      <w:r w:rsidR="006E35CF" w:rsidRPr="00FF39BB">
        <w:rPr>
          <w:rFonts w:ascii="Gill Sans MT" w:hAnsi="Gill Sans MT" w:cs="Arial"/>
          <w:bCs/>
        </w:rPr>
        <w:t xml:space="preserve"> </w:t>
      </w:r>
      <w:r w:rsidR="008871FD" w:rsidRPr="00FF39BB">
        <w:rPr>
          <w:rFonts w:ascii="Gill Sans MT" w:hAnsi="Gill Sans MT" w:cs="Arial"/>
          <w:bCs/>
        </w:rPr>
        <w:t>pelas implicações da pandemia</w:t>
      </w:r>
      <w:r w:rsidR="007A16D4" w:rsidRPr="00FF39BB">
        <w:rPr>
          <w:rFonts w:ascii="Gill Sans MT" w:hAnsi="Gill Sans MT" w:cs="Arial"/>
          <w:bCs/>
        </w:rPr>
        <w:t xml:space="preserve"> na taxa de segurança aeroportuária,</w:t>
      </w:r>
      <w:r w:rsidR="008871FD" w:rsidRPr="00FF39BB">
        <w:rPr>
          <w:rFonts w:ascii="Gill Sans MT" w:hAnsi="Gill Sans MT" w:cs="Arial"/>
          <w:bCs/>
        </w:rPr>
        <w:t xml:space="preserve"> serviços policiais e fronteiras,</w:t>
      </w:r>
      <w:r w:rsidR="007A16D4" w:rsidRPr="00FF39BB">
        <w:rPr>
          <w:rFonts w:ascii="Gill Sans MT" w:hAnsi="Gill Sans MT" w:cs="Arial"/>
          <w:bCs/>
        </w:rPr>
        <w:t xml:space="preserve"> bem como pelas medidas </w:t>
      </w:r>
      <w:r w:rsidR="000C4026" w:rsidRPr="00FF39BB">
        <w:rPr>
          <w:rFonts w:ascii="Gill Sans MT" w:hAnsi="Gill Sans MT" w:cs="Arial"/>
          <w:bCs/>
        </w:rPr>
        <w:t>restritivas</w:t>
      </w:r>
      <w:r w:rsidR="007A79E5" w:rsidRPr="00FF39BB">
        <w:rPr>
          <w:rFonts w:ascii="Gill Sans MT" w:hAnsi="Gill Sans MT" w:cs="Arial"/>
          <w:bCs/>
        </w:rPr>
        <w:t>,</w:t>
      </w:r>
      <w:r w:rsidR="007A16D4" w:rsidRPr="00FF39BB">
        <w:rPr>
          <w:rFonts w:ascii="Gill Sans MT" w:hAnsi="Gill Sans MT" w:cs="Arial"/>
          <w:bCs/>
        </w:rPr>
        <w:t xml:space="preserve"> implicando em menor procura por </w:t>
      </w:r>
      <w:r w:rsidR="006E35CF">
        <w:rPr>
          <w:rFonts w:ascii="Gill Sans MT" w:hAnsi="Gill Sans MT" w:cs="Arial"/>
          <w:bCs/>
        </w:rPr>
        <w:t>serviços</w:t>
      </w:r>
      <w:r w:rsidR="006E35CF" w:rsidRPr="00FF39BB">
        <w:rPr>
          <w:rFonts w:ascii="Gill Sans MT" w:hAnsi="Gill Sans MT" w:cs="Arial"/>
          <w:bCs/>
        </w:rPr>
        <w:t xml:space="preserve"> </w:t>
      </w:r>
      <w:r w:rsidR="007A16D4" w:rsidRPr="00FF39BB">
        <w:rPr>
          <w:rFonts w:ascii="Gill Sans MT" w:hAnsi="Gill Sans MT" w:cs="Arial"/>
          <w:bCs/>
        </w:rPr>
        <w:t>públicos</w:t>
      </w:r>
      <w:r w:rsidR="000C4026" w:rsidRPr="00FF39BB">
        <w:rPr>
          <w:rFonts w:ascii="Gill Sans MT" w:hAnsi="Gill Sans MT" w:cs="Arial"/>
          <w:bCs/>
        </w:rPr>
        <w:t>.</w:t>
      </w:r>
      <w:r w:rsidRPr="00FF39BB">
        <w:rPr>
          <w:rFonts w:ascii="Gill Sans MT" w:hAnsi="Gill Sans MT" w:cs="Arial"/>
          <w:bCs/>
        </w:rPr>
        <w:t xml:space="preserve"> </w:t>
      </w:r>
    </w:p>
    <w:p w14:paraId="6A29A37D" w14:textId="32FE418E" w:rsidR="00546AB6" w:rsidRDefault="00546AB6" w:rsidP="003C2273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 xml:space="preserve">Gráfico </w:t>
      </w:r>
      <w:r w:rsidR="006E1B2E">
        <w:rPr>
          <w:rFonts w:ascii="Gill Sans MT" w:eastAsia="Calibri" w:hAnsi="Gill Sans MT" w:cs="Times New Roman"/>
          <w:b/>
          <w:bCs/>
        </w:rPr>
        <w:t>1</w:t>
      </w:r>
      <w:r w:rsidR="00105A2D">
        <w:rPr>
          <w:rFonts w:ascii="Gill Sans MT" w:eastAsia="Calibri" w:hAnsi="Gill Sans MT" w:cs="Times New Roman"/>
          <w:b/>
          <w:bCs/>
        </w:rPr>
        <w:t>3</w:t>
      </w:r>
      <w:r w:rsidRPr="00614F3A">
        <w:rPr>
          <w:rFonts w:ascii="Gill Sans MT" w:eastAsia="Calibri" w:hAnsi="Gill Sans MT" w:cs="Times New Roman"/>
          <w:b/>
          <w:bCs/>
        </w:rPr>
        <w:t xml:space="preserve">: </w:t>
      </w:r>
      <w:r>
        <w:rPr>
          <w:rFonts w:ascii="Gill Sans MT" w:eastAsia="Calibri" w:hAnsi="Gill Sans MT" w:cs="Times New Roman"/>
          <w:b/>
          <w:bCs/>
        </w:rPr>
        <w:t xml:space="preserve">Contribuição para o Crescimento da Receita Total </w:t>
      </w:r>
    </w:p>
    <w:p w14:paraId="5F25B356" w14:textId="77777777" w:rsidR="003C2273" w:rsidRDefault="003C2273" w:rsidP="003C2273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5EFF9385" w14:textId="6B73A037" w:rsidR="00546AB6" w:rsidRPr="003C2273" w:rsidRDefault="00892376" w:rsidP="003C2273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892376">
        <w:rPr>
          <w:noProof/>
          <w:lang w:eastAsia="pt-PT"/>
        </w:rPr>
        <w:drawing>
          <wp:inline distT="0" distB="0" distL="0" distR="0" wp14:anchorId="2A5E6BEE" wp14:editId="74B5D6E2">
            <wp:extent cx="4237630" cy="2679686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75" cy="26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45E6" w14:textId="24EF33A2" w:rsidR="00546AB6" w:rsidRDefault="00546AB6" w:rsidP="003C2273">
      <w:pPr>
        <w:spacing w:line="240" w:lineRule="auto"/>
        <w:jc w:val="center"/>
        <w:rPr>
          <w:rFonts w:ascii="Gill Sans MT" w:hAnsi="Gill Sans MT" w:cs="Arial"/>
          <w:bCs/>
          <w:sz w:val="18"/>
          <w:szCs w:val="18"/>
        </w:rPr>
      </w:pPr>
      <w:r w:rsidRPr="00614F3A"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614F3A">
        <w:rPr>
          <w:rFonts w:ascii="Gill Sans MT" w:hAnsi="Gill Sans MT" w:cs="Arial"/>
          <w:bCs/>
          <w:sz w:val="18"/>
          <w:szCs w:val="18"/>
        </w:rPr>
        <w:t>Ministério das Finanças.</w:t>
      </w:r>
    </w:p>
    <w:p w14:paraId="079C9C9B" w14:textId="77777777" w:rsidR="00303DC4" w:rsidRDefault="00303DC4" w:rsidP="00517C85">
      <w:pPr>
        <w:spacing w:line="240" w:lineRule="auto"/>
        <w:jc w:val="center"/>
        <w:rPr>
          <w:rFonts w:ascii="Gill Sans MT" w:hAnsi="Gill Sans MT" w:cs="Arial"/>
          <w:bCs/>
          <w:sz w:val="18"/>
          <w:szCs w:val="18"/>
        </w:rPr>
      </w:pPr>
    </w:p>
    <w:p w14:paraId="09DD7DF9" w14:textId="0A26323A" w:rsidR="007A16D4" w:rsidRPr="00C06421" w:rsidRDefault="0033510A" w:rsidP="00546AB6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Relativamente à execução das</w:t>
      </w:r>
      <w:r w:rsidR="00437864" w:rsidRPr="00C06421">
        <w:rPr>
          <w:rFonts w:ascii="Gill Sans MT" w:hAnsi="Gill Sans MT" w:cs="Arial"/>
          <w:bCs/>
        </w:rPr>
        <w:t xml:space="preserve"> </w:t>
      </w:r>
      <w:r w:rsidR="00546AB6" w:rsidRPr="00C06421">
        <w:rPr>
          <w:rFonts w:ascii="Gill Sans MT" w:hAnsi="Gill Sans MT" w:cs="Arial"/>
          <w:bCs/>
        </w:rPr>
        <w:t>despesa</w:t>
      </w:r>
      <w:r w:rsidR="00C74139" w:rsidRPr="00C06421">
        <w:rPr>
          <w:rFonts w:ascii="Gill Sans MT" w:hAnsi="Gill Sans MT" w:cs="Arial"/>
          <w:bCs/>
        </w:rPr>
        <w:t>s</w:t>
      </w:r>
      <w:r w:rsidR="00546AB6" w:rsidRPr="00C06421">
        <w:rPr>
          <w:rFonts w:ascii="Gill Sans MT" w:hAnsi="Gill Sans MT" w:cs="Arial"/>
          <w:bCs/>
        </w:rPr>
        <w:t xml:space="preserve"> </w:t>
      </w:r>
      <w:r w:rsidR="00C74139" w:rsidRPr="00C06421">
        <w:rPr>
          <w:rFonts w:ascii="Gill Sans MT" w:hAnsi="Gill Sans MT" w:cs="Arial"/>
          <w:bCs/>
        </w:rPr>
        <w:t>totais</w:t>
      </w:r>
      <w:r>
        <w:rPr>
          <w:rFonts w:ascii="Gill Sans MT" w:hAnsi="Gill Sans MT" w:cs="Arial"/>
          <w:bCs/>
        </w:rPr>
        <w:t>, estas</w:t>
      </w:r>
      <w:r w:rsidR="00C74139" w:rsidRPr="00C06421">
        <w:rPr>
          <w:rFonts w:ascii="Gill Sans MT" w:hAnsi="Gill Sans MT" w:cs="Arial"/>
          <w:bCs/>
        </w:rPr>
        <w:t xml:space="preserve"> </w:t>
      </w:r>
      <w:r w:rsidR="001930C4" w:rsidRPr="00C06421">
        <w:rPr>
          <w:rFonts w:ascii="Gill Sans MT" w:hAnsi="Gill Sans MT" w:cs="Arial"/>
          <w:bCs/>
        </w:rPr>
        <w:t xml:space="preserve">apresentaram um ligeiro agravamento de </w:t>
      </w:r>
      <w:r w:rsidR="006D2A1E">
        <w:rPr>
          <w:rFonts w:ascii="Gill Sans MT" w:hAnsi="Gill Sans MT" w:cs="Arial"/>
          <w:bCs/>
        </w:rPr>
        <w:t>1</w:t>
      </w:r>
      <w:r w:rsidR="00546AB6" w:rsidRPr="00C06421">
        <w:rPr>
          <w:rFonts w:ascii="Gill Sans MT" w:hAnsi="Gill Sans MT" w:cs="Arial"/>
          <w:bCs/>
        </w:rPr>
        <w:t>,</w:t>
      </w:r>
      <w:r w:rsidR="006D2A1E">
        <w:rPr>
          <w:rFonts w:ascii="Gill Sans MT" w:hAnsi="Gill Sans MT" w:cs="Arial"/>
          <w:bCs/>
        </w:rPr>
        <w:t>8</w:t>
      </w:r>
      <w:r w:rsidR="00546AB6" w:rsidRPr="00C06421">
        <w:rPr>
          <w:rFonts w:ascii="Gill Sans MT" w:hAnsi="Gill Sans MT" w:cs="Arial"/>
          <w:bCs/>
        </w:rPr>
        <w:t>%</w:t>
      </w:r>
      <w:r w:rsidR="00FF113A" w:rsidRPr="00C06421">
        <w:rPr>
          <w:rFonts w:ascii="Gill Sans MT" w:hAnsi="Gill Sans MT" w:cs="Arial"/>
          <w:bCs/>
        </w:rPr>
        <w:t>,</w:t>
      </w:r>
      <w:r w:rsidR="00546AB6" w:rsidRPr="00C06421">
        <w:rPr>
          <w:rFonts w:ascii="Gill Sans MT" w:hAnsi="Gill Sans MT" w:cs="Arial"/>
          <w:bCs/>
        </w:rPr>
        <w:t xml:space="preserve"> </w:t>
      </w:r>
      <w:r w:rsidR="00AB5EC7" w:rsidRPr="00C06421">
        <w:rPr>
          <w:rFonts w:ascii="Gill Sans MT" w:hAnsi="Gill Sans MT" w:cs="Arial"/>
          <w:bCs/>
        </w:rPr>
        <w:t>face ao</w:t>
      </w:r>
      <w:r w:rsidR="00FF113A" w:rsidRPr="00C06421">
        <w:rPr>
          <w:rFonts w:ascii="Gill Sans MT" w:hAnsi="Gill Sans MT" w:cs="Arial"/>
          <w:bCs/>
        </w:rPr>
        <w:t xml:space="preserve"> período </w:t>
      </w:r>
      <w:r w:rsidR="00E37B89" w:rsidRPr="00C06421">
        <w:rPr>
          <w:rFonts w:ascii="Gill Sans MT" w:hAnsi="Gill Sans MT" w:cs="Arial"/>
          <w:bCs/>
        </w:rPr>
        <w:t>homólogo</w:t>
      </w:r>
      <w:r w:rsidR="001930C4" w:rsidRPr="00C06421">
        <w:rPr>
          <w:rFonts w:ascii="Gill Sans MT" w:hAnsi="Gill Sans MT" w:cs="Arial"/>
          <w:bCs/>
        </w:rPr>
        <w:t>,</w:t>
      </w:r>
      <w:r w:rsidR="00E37B89" w:rsidRPr="00C06421">
        <w:rPr>
          <w:rFonts w:ascii="Gill Sans MT" w:hAnsi="Gill Sans MT" w:cs="Arial"/>
          <w:bCs/>
        </w:rPr>
        <w:t xml:space="preserve"> </w:t>
      </w:r>
      <w:r w:rsidR="00D37B8D">
        <w:rPr>
          <w:rFonts w:ascii="Gill Sans MT" w:hAnsi="Gill Sans MT" w:cs="Arial"/>
          <w:bCs/>
        </w:rPr>
        <w:t xml:space="preserve">justificado </w:t>
      </w:r>
      <w:r w:rsidR="001930C4" w:rsidRPr="00C06421">
        <w:rPr>
          <w:rFonts w:ascii="Gill Sans MT" w:hAnsi="Gill Sans MT" w:cs="Arial"/>
          <w:bCs/>
        </w:rPr>
        <w:t>sobretudo</w:t>
      </w:r>
      <w:r w:rsidR="005565E4" w:rsidRPr="00C06421">
        <w:rPr>
          <w:rFonts w:ascii="Gill Sans MT" w:hAnsi="Gill Sans MT" w:cs="Arial"/>
          <w:bCs/>
        </w:rPr>
        <w:t>, pelo</w:t>
      </w:r>
      <w:r w:rsidR="00E37B89" w:rsidRPr="00C06421">
        <w:rPr>
          <w:rFonts w:ascii="Gill Sans MT" w:hAnsi="Gill Sans MT" w:cs="Arial"/>
          <w:bCs/>
        </w:rPr>
        <w:t xml:space="preserve"> </w:t>
      </w:r>
      <w:r w:rsidR="005565E4" w:rsidRPr="00C06421">
        <w:rPr>
          <w:rFonts w:ascii="Gill Sans MT" w:hAnsi="Gill Sans MT" w:cs="Arial"/>
          <w:bCs/>
        </w:rPr>
        <w:t>aumento</w:t>
      </w:r>
      <w:r w:rsidR="005D0EE0">
        <w:rPr>
          <w:rFonts w:ascii="Gill Sans MT" w:hAnsi="Gill Sans MT" w:cs="Arial"/>
          <w:bCs/>
        </w:rPr>
        <w:t xml:space="preserve"> registado</w:t>
      </w:r>
      <w:r w:rsidR="00E37B89" w:rsidRPr="00C06421">
        <w:rPr>
          <w:rFonts w:ascii="Gill Sans MT" w:hAnsi="Gill Sans MT" w:cs="Arial"/>
          <w:bCs/>
        </w:rPr>
        <w:t xml:space="preserve"> </w:t>
      </w:r>
      <w:r w:rsidR="00861CE1">
        <w:rPr>
          <w:rFonts w:ascii="Gill Sans MT" w:hAnsi="Gill Sans MT" w:cs="Arial"/>
          <w:bCs/>
        </w:rPr>
        <w:t xml:space="preserve">em larga medida </w:t>
      </w:r>
      <w:r w:rsidR="00E37B89" w:rsidRPr="00C06421">
        <w:rPr>
          <w:rFonts w:ascii="Gill Sans MT" w:hAnsi="Gill Sans MT" w:cs="Arial"/>
          <w:bCs/>
        </w:rPr>
        <w:t xml:space="preserve">nas despesas </w:t>
      </w:r>
      <w:r>
        <w:rPr>
          <w:rFonts w:ascii="Gill Sans MT" w:hAnsi="Gill Sans MT" w:cs="Arial"/>
          <w:bCs/>
        </w:rPr>
        <w:t xml:space="preserve">para fazer face ao </w:t>
      </w:r>
      <w:r w:rsidR="00861CE1">
        <w:rPr>
          <w:rFonts w:ascii="Gill Sans MT" w:hAnsi="Gill Sans MT" w:cs="Arial"/>
          <w:bCs/>
        </w:rPr>
        <w:t>reforço da</w:t>
      </w:r>
      <w:r w:rsidR="005565E4" w:rsidRPr="00C06421">
        <w:rPr>
          <w:rFonts w:ascii="Gill Sans MT" w:hAnsi="Gill Sans MT" w:cs="Arial"/>
          <w:bCs/>
        </w:rPr>
        <w:t xml:space="preserve"> capacidade de resposta no combate a pandemia</w:t>
      </w:r>
      <w:r w:rsidR="00FF3674" w:rsidRPr="00C06421">
        <w:rPr>
          <w:rFonts w:ascii="Gill Sans MT" w:hAnsi="Gill Sans MT" w:cs="Arial"/>
          <w:bCs/>
        </w:rPr>
        <w:t xml:space="preserve"> e minimizar os seus efeitos socioeconómicos</w:t>
      </w:r>
      <w:r w:rsidR="00E37B89" w:rsidRPr="00C06421">
        <w:rPr>
          <w:rFonts w:ascii="Gill Sans MT" w:hAnsi="Gill Sans MT" w:cs="Arial"/>
          <w:bCs/>
        </w:rPr>
        <w:t>.</w:t>
      </w:r>
      <w:r w:rsidR="00AF4EEF" w:rsidRPr="00C06421">
        <w:rPr>
          <w:rFonts w:ascii="Gill Sans MT" w:hAnsi="Gill Sans MT" w:cs="Arial"/>
          <w:bCs/>
        </w:rPr>
        <w:t xml:space="preserve"> </w:t>
      </w:r>
      <w:r w:rsidR="00FF3674" w:rsidRPr="00C06421">
        <w:rPr>
          <w:rFonts w:ascii="Gill Sans MT" w:hAnsi="Gill Sans MT" w:cs="Arial"/>
          <w:bCs/>
        </w:rPr>
        <w:t>As</w:t>
      </w:r>
      <w:r w:rsidR="00AF4EEF" w:rsidRPr="00C06421">
        <w:rPr>
          <w:rFonts w:ascii="Gill Sans MT" w:hAnsi="Gill Sans MT" w:cs="Arial"/>
          <w:bCs/>
        </w:rPr>
        <w:t xml:space="preserve"> despesas com pessoal </w:t>
      </w:r>
      <w:r w:rsidR="00FF3674" w:rsidRPr="00C06421">
        <w:rPr>
          <w:rFonts w:ascii="Gill Sans MT" w:hAnsi="Gill Sans MT" w:cs="Arial"/>
          <w:bCs/>
        </w:rPr>
        <w:t>registaram um aumento de 4,</w:t>
      </w:r>
      <w:r w:rsidR="00C06421" w:rsidRPr="00C06421">
        <w:rPr>
          <w:rFonts w:ascii="Gill Sans MT" w:hAnsi="Gill Sans MT" w:cs="Arial"/>
          <w:bCs/>
        </w:rPr>
        <w:t>7</w:t>
      </w:r>
      <w:r w:rsidR="00FF3674" w:rsidRPr="00C06421">
        <w:rPr>
          <w:rFonts w:ascii="Gill Sans MT" w:hAnsi="Gill Sans MT" w:cs="Arial"/>
          <w:bCs/>
        </w:rPr>
        <w:t xml:space="preserve">% no período, </w:t>
      </w:r>
      <w:r w:rsidR="00AF4EEF" w:rsidRPr="00C06421">
        <w:rPr>
          <w:rFonts w:ascii="Gill Sans MT" w:hAnsi="Gill Sans MT" w:cs="Arial"/>
          <w:bCs/>
        </w:rPr>
        <w:t xml:space="preserve">dada a regularização atempada das despesas dos órgãos de soberania, </w:t>
      </w:r>
      <w:r w:rsidR="00FF3674" w:rsidRPr="00C06421">
        <w:rPr>
          <w:rFonts w:ascii="Gill Sans MT" w:hAnsi="Gill Sans MT" w:cs="Arial"/>
          <w:bCs/>
        </w:rPr>
        <w:t xml:space="preserve">nomeadamente da Assembleia Nacional e da Presidência da República, </w:t>
      </w:r>
      <w:r w:rsidR="00AF4EEF" w:rsidRPr="00C06421">
        <w:rPr>
          <w:rFonts w:ascii="Gill Sans MT" w:hAnsi="Gill Sans MT" w:cs="Arial"/>
          <w:bCs/>
        </w:rPr>
        <w:t xml:space="preserve">da </w:t>
      </w:r>
      <w:proofErr w:type="spellStart"/>
      <w:r w:rsidR="00AF4EEF" w:rsidRPr="00C06421">
        <w:rPr>
          <w:rFonts w:ascii="Gill Sans MT" w:hAnsi="Gill Sans MT" w:cs="Arial"/>
          <w:bCs/>
        </w:rPr>
        <w:t>bancarização</w:t>
      </w:r>
      <w:proofErr w:type="spellEnd"/>
      <w:r w:rsidR="00AF4EEF" w:rsidRPr="00C06421">
        <w:rPr>
          <w:rFonts w:ascii="Gill Sans MT" w:hAnsi="Gill Sans MT" w:cs="Arial"/>
          <w:bCs/>
        </w:rPr>
        <w:t xml:space="preserve"> das estruturas dos Tribunais e das Comissões de Recenseamento </w:t>
      </w:r>
      <w:r w:rsidR="00533A99">
        <w:rPr>
          <w:rFonts w:ascii="Gill Sans MT" w:hAnsi="Gill Sans MT" w:cs="Arial"/>
          <w:bCs/>
        </w:rPr>
        <w:t>E</w:t>
      </w:r>
      <w:r w:rsidR="00AF4EEF" w:rsidRPr="00C06421">
        <w:rPr>
          <w:rFonts w:ascii="Gill Sans MT" w:hAnsi="Gill Sans MT" w:cs="Arial"/>
          <w:bCs/>
        </w:rPr>
        <w:t xml:space="preserve">leitoral, da </w:t>
      </w:r>
      <w:r w:rsidR="00BF4975" w:rsidRPr="00C06421">
        <w:rPr>
          <w:rFonts w:ascii="Gill Sans MT" w:hAnsi="Gill Sans MT" w:cs="Arial"/>
          <w:bCs/>
        </w:rPr>
        <w:t>contratação de médicos especialistas aposentados, da implementação do Estatuto dos militares</w:t>
      </w:r>
      <w:r w:rsidR="00C06421" w:rsidRPr="00C06421">
        <w:rPr>
          <w:rFonts w:ascii="Gill Sans MT" w:hAnsi="Gill Sans MT" w:cs="Arial"/>
          <w:bCs/>
        </w:rPr>
        <w:t xml:space="preserve"> e da polícia nacional</w:t>
      </w:r>
      <w:r w:rsidR="00BF4975" w:rsidRPr="00C06421">
        <w:rPr>
          <w:rFonts w:ascii="Gill Sans MT" w:hAnsi="Gill Sans MT" w:cs="Arial"/>
          <w:bCs/>
        </w:rPr>
        <w:t>, da entrada em funcionamento do Campus do Mar</w:t>
      </w:r>
      <w:r w:rsidR="00FF3674" w:rsidRPr="00C06421">
        <w:rPr>
          <w:rFonts w:ascii="Gill Sans MT" w:hAnsi="Gill Sans MT" w:cs="Arial"/>
          <w:bCs/>
        </w:rPr>
        <w:t xml:space="preserve"> e do Instituto Marítimo Portuário (</w:t>
      </w:r>
      <w:proofErr w:type="spellStart"/>
      <w:r w:rsidR="00FF3674" w:rsidRPr="00C06421">
        <w:rPr>
          <w:rFonts w:ascii="Gill Sans MT" w:hAnsi="Gill Sans MT" w:cs="Arial"/>
          <w:bCs/>
        </w:rPr>
        <w:t>Ex-AMP</w:t>
      </w:r>
      <w:proofErr w:type="spellEnd"/>
      <w:r w:rsidR="00FF3674" w:rsidRPr="00C06421">
        <w:rPr>
          <w:rFonts w:ascii="Gill Sans MT" w:hAnsi="Gill Sans MT" w:cs="Arial"/>
          <w:bCs/>
        </w:rPr>
        <w:t>)</w:t>
      </w:r>
      <w:r w:rsidR="00BF4975" w:rsidRPr="00C06421">
        <w:rPr>
          <w:rFonts w:ascii="Gill Sans MT" w:hAnsi="Gill Sans MT" w:cs="Arial"/>
          <w:bCs/>
        </w:rPr>
        <w:t>,</w:t>
      </w:r>
      <w:r w:rsidR="00FF3674" w:rsidRPr="00C06421">
        <w:rPr>
          <w:rFonts w:ascii="Gill Sans MT" w:hAnsi="Gill Sans MT" w:cs="Arial"/>
          <w:bCs/>
        </w:rPr>
        <w:t xml:space="preserve"> da entrada em funcionamento do </w:t>
      </w:r>
      <w:r w:rsidR="00FF3674" w:rsidRPr="00C06421">
        <w:rPr>
          <w:rFonts w:ascii="Gill Sans MT" w:hAnsi="Gill Sans MT" w:cs="Arial"/>
          <w:bCs/>
        </w:rPr>
        <w:lastRenderedPageBreak/>
        <w:t xml:space="preserve">setor de Alta Autoridade para a Imigração, </w:t>
      </w:r>
      <w:r w:rsidR="00BF4975" w:rsidRPr="00C06421">
        <w:rPr>
          <w:rFonts w:ascii="Gill Sans MT" w:hAnsi="Gill Sans MT" w:cs="Arial"/>
          <w:bCs/>
        </w:rPr>
        <w:t xml:space="preserve"> do recrutamento de Procuradores, Magistrados Judicias e técnicos para as diferentes esferas da Administração Pública</w:t>
      </w:r>
      <w:r w:rsidR="007A16D4" w:rsidRPr="00C06421">
        <w:rPr>
          <w:rFonts w:ascii="Gill Sans MT" w:hAnsi="Gill Sans MT" w:cs="Arial"/>
          <w:bCs/>
        </w:rPr>
        <w:t>.</w:t>
      </w:r>
    </w:p>
    <w:p w14:paraId="192A13CA" w14:textId="6859C99B" w:rsidR="003A6FC1" w:rsidRPr="00E55B52" w:rsidRDefault="00FF3674" w:rsidP="00546AB6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  <w:r w:rsidRPr="00727573">
        <w:rPr>
          <w:rFonts w:ascii="Gill Sans MT" w:hAnsi="Gill Sans MT" w:cs="Arial"/>
          <w:bCs/>
        </w:rPr>
        <w:t>As</w:t>
      </w:r>
      <w:r w:rsidR="00AF4EEF" w:rsidRPr="00727573">
        <w:rPr>
          <w:rFonts w:ascii="Gill Sans MT" w:hAnsi="Gill Sans MT" w:cs="Arial"/>
          <w:bCs/>
        </w:rPr>
        <w:t xml:space="preserve"> despesas com aquisição de bens e serviços</w:t>
      </w:r>
      <w:r w:rsidRPr="00727573">
        <w:rPr>
          <w:rFonts w:ascii="Gill Sans MT" w:hAnsi="Gill Sans MT" w:cs="Arial"/>
          <w:bCs/>
        </w:rPr>
        <w:t xml:space="preserve"> </w:t>
      </w:r>
      <w:r w:rsidR="0059319B" w:rsidRPr="00727573">
        <w:rPr>
          <w:rFonts w:ascii="Gill Sans MT" w:hAnsi="Gill Sans MT" w:cs="Arial"/>
          <w:bCs/>
        </w:rPr>
        <w:t xml:space="preserve">aumentaram </w:t>
      </w:r>
      <w:r w:rsidR="005D0EE0">
        <w:rPr>
          <w:rFonts w:ascii="Gill Sans MT" w:hAnsi="Gill Sans MT" w:cs="Arial"/>
          <w:bCs/>
        </w:rPr>
        <w:t>2</w:t>
      </w:r>
      <w:r w:rsidR="0059319B" w:rsidRPr="00727573">
        <w:rPr>
          <w:rFonts w:ascii="Gill Sans MT" w:hAnsi="Gill Sans MT" w:cs="Arial"/>
          <w:bCs/>
        </w:rPr>
        <w:t>6</w:t>
      </w:r>
      <w:r w:rsidR="00AF4EEF" w:rsidRPr="00727573">
        <w:rPr>
          <w:rFonts w:ascii="Gill Sans MT" w:hAnsi="Gill Sans MT" w:cs="Arial"/>
          <w:bCs/>
        </w:rPr>
        <w:t>,</w:t>
      </w:r>
      <w:r w:rsidR="005D0EE0">
        <w:rPr>
          <w:rFonts w:ascii="Gill Sans MT" w:hAnsi="Gill Sans MT" w:cs="Arial"/>
          <w:bCs/>
        </w:rPr>
        <w:t>8</w:t>
      </w:r>
      <w:r w:rsidR="0059319B" w:rsidRPr="00727573">
        <w:rPr>
          <w:rFonts w:ascii="Gill Sans MT" w:hAnsi="Gill Sans MT" w:cs="Arial"/>
          <w:bCs/>
        </w:rPr>
        <w:t>%</w:t>
      </w:r>
      <w:r w:rsidR="004B420D" w:rsidRPr="00727573">
        <w:rPr>
          <w:rFonts w:ascii="Gill Sans MT" w:hAnsi="Gill Sans MT" w:cs="Arial"/>
          <w:bCs/>
        </w:rPr>
        <w:t xml:space="preserve">, principalmente </w:t>
      </w:r>
      <w:r w:rsidR="0059319B" w:rsidRPr="00727573">
        <w:rPr>
          <w:rFonts w:ascii="Gill Sans MT" w:hAnsi="Gill Sans MT" w:cs="Arial"/>
          <w:bCs/>
        </w:rPr>
        <w:t>devido as execuções das</w:t>
      </w:r>
      <w:r w:rsidR="003A6FC1" w:rsidRPr="00727573">
        <w:rPr>
          <w:rFonts w:ascii="Gill Sans MT" w:hAnsi="Gill Sans MT" w:cs="Arial"/>
          <w:bCs/>
        </w:rPr>
        <w:t xml:space="preserve"> despesas</w:t>
      </w:r>
      <w:r w:rsidR="00791B6C" w:rsidRPr="00727573">
        <w:rPr>
          <w:rFonts w:ascii="Gill Sans MT" w:hAnsi="Gill Sans MT" w:cs="Arial"/>
          <w:bCs/>
        </w:rPr>
        <w:t xml:space="preserve"> </w:t>
      </w:r>
      <w:r w:rsidR="003A6FC1" w:rsidRPr="00727573">
        <w:rPr>
          <w:rFonts w:ascii="Gill Sans MT" w:hAnsi="Gill Sans MT" w:cs="Arial"/>
          <w:bCs/>
        </w:rPr>
        <w:t>com</w:t>
      </w:r>
      <w:r w:rsidR="004B420D" w:rsidRPr="00727573">
        <w:rPr>
          <w:rFonts w:ascii="Gill Sans MT" w:hAnsi="Gill Sans MT" w:cs="Arial"/>
          <w:bCs/>
        </w:rPr>
        <w:t xml:space="preserve"> </w:t>
      </w:r>
      <w:r w:rsidR="003A6FC1" w:rsidRPr="00727573">
        <w:rPr>
          <w:rFonts w:ascii="Gill Sans MT" w:hAnsi="Gill Sans MT" w:cs="Arial"/>
          <w:bCs/>
        </w:rPr>
        <w:t>material de</w:t>
      </w:r>
      <w:r w:rsidR="004B420D" w:rsidRPr="00727573">
        <w:rPr>
          <w:rFonts w:ascii="Gill Sans MT" w:hAnsi="Gill Sans MT" w:cs="Arial"/>
          <w:bCs/>
        </w:rPr>
        <w:t xml:space="preserve"> consumo clínico (+</w:t>
      </w:r>
      <w:r w:rsidRPr="00727573">
        <w:rPr>
          <w:rFonts w:ascii="Gill Sans MT" w:hAnsi="Gill Sans MT" w:cs="Arial"/>
          <w:bCs/>
        </w:rPr>
        <w:t>4</w:t>
      </w:r>
      <w:r w:rsidR="00791B6C" w:rsidRPr="00727573">
        <w:rPr>
          <w:rFonts w:ascii="Gill Sans MT" w:hAnsi="Gill Sans MT" w:cs="Arial"/>
          <w:bCs/>
        </w:rPr>
        <w:t>01</w:t>
      </w:r>
      <w:r w:rsidR="004B420D" w:rsidRPr="00727573">
        <w:rPr>
          <w:rFonts w:ascii="Gill Sans MT" w:hAnsi="Gill Sans MT" w:cs="Arial"/>
          <w:bCs/>
        </w:rPr>
        <w:t>,</w:t>
      </w:r>
      <w:r w:rsidR="00791B6C" w:rsidRPr="00727573">
        <w:rPr>
          <w:rFonts w:ascii="Gill Sans MT" w:hAnsi="Gill Sans MT" w:cs="Arial"/>
          <w:bCs/>
        </w:rPr>
        <w:t>5%),</w:t>
      </w:r>
      <w:r w:rsidR="00991FDA">
        <w:rPr>
          <w:rFonts w:ascii="Gill Sans MT" w:hAnsi="Gill Sans MT" w:cs="Arial"/>
          <w:bCs/>
        </w:rPr>
        <w:t xml:space="preserve"> com medicamentos (+37,5%),</w:t>
      </w:r>
      <w:r w:rsidR="00791B6C" w:rsidRPr="00727573">
        <w:rPr>
          <w:rFonts w:ascii="Gill Sans MT" w:hAnsi="Gill Sans MT" w:cs="Arial"/>
          <w:bCs/>
        </w:rPr>
        <w:t xml:space="preserve"> </w:t>
      </w:r>
      <w:r w:rsidR="00224837">
        <w:rPr>
          <w:rFonts w:ascii="Gill Sans MT" w:hAnsi="Gill Sans MT" w:cs="Arial"/>
          <w:bCs/>
        </w:rPr>
        <w:t>refletindo as ações do</w:t>
      </w:r>
      <w:r w:rsidR="004B420D" w:rsidRPr="00727573">
        <w:rPr>
          <w:rFonts w:ascii="Gill Sans MT" w:hAnsi="Gill Sans MT" w:cs="Arial"/>
          <w:bCs/>
        </w:rPr>
        <w:t xml:space="preserve"> Ministério da Saúde e </w:t>
      </w:r>
      <w:r w:rsidR="00224837">
        <w:rPr>
          <w:rFonts w:ascii="Gill Sans MT" w:hAnsi="Gill Sans MT" w:cs="Arial"/>
          <w:bCs/>
        </w:rPr>
        <w:t>d</w:t>
      </w:r>
      <w:r w:rsidR="004B420D" w:rsidRPr="00727573">
        <w:rPr>
          <w:rFonts w:ascii="Gill Sans MT" w:hAnsi="Gill Sans MT" w:cs="Arial"/>
          <w:bCs/>
        </w:rPr>
        <w:t>o Ministério da Administração</w:t>
      </w:r>
      <w:r w:rsidR="00C47C79" w:rsidRPr="00727573">
        <w:rPr>
          <w:rFonts w:ascii="Gill Sans MT" w:hAnsi="Gill Sans MT" w:cs="Arial"/>
          <w:bCs/>
        </w:rPr>
        <w:t xml:space="preserve"> Interna</w:t>
      </w:r>
      <w:r w:rsidR="004B420D" w:rsidRPr="00727573">
        <w:rPr>
          <w:rFonts w:ascii="Gill Sans MT" w:hAnsi="Gill Sans MT" w:cs="Arial"/>
          <w:bCs/>
        </w:rPr>
        <w:t xml:space="preserve"> </w:t>
      </w:r>
      <w:r w:rsidR="00224837">
        <w:rPr>
          <w:rFonts w:ascii="Gill Sans MT" w:hAnsi="Gill Sans MT" w:cs="Arial"/>
          <w:bCs/>
        </w:rPr>
        <w:t>no</w:t>
      </w:r>
      <w:r w:rsidR="00224837" w:rsidRPr="00727573">
        <w:rPr>
          <w:rFonts w:ascii="Gill Sans MT" w:hAnsi="Gill Sans MT" w:cs="Arial"/>
          <w:bCs/>
        </w:rPr>
        <w:t xml:space="preserve"> </w:t>
      </w:r>
      <w:r w:rsidR="004B420D" w:rsidRPr="00727573">
        <w:rPr>
          <w:rFonts w:ascii="Gill Sans MT" w:hAnsi="Gill Sans MT" w:cs="Arial"/>
          <w:bCs/>
        </w:rPr>
        <w:t xml:space="preserve">combate e resposta </w:t>
      </w:r>
      <w:r w:rsidR="0033510A">
        <w:rPr>
          <w:rFonts w:ascii="Gill Sans MT" w:hAnsi="Gill Sans MT" w:cs="Arial"/>
          <w:bCs/>
        </w:rPr>
        <w:t>à</w:t>
      </w:r>
      <w:r w:rsidR="00224837">
        <w:rPr>
          <w:rFonts w:ascii="Gill Sans MT" w:hAnsi="Gill Sans MT" w:cs="Arial"/>
          <w:bCs/>
        </w:rPr>
        <w:t xml:space="preserve"> pandemia</w:t>
      </w:r>
      <w:r w:rsidR="004B420D" w:rsidRPr="00727573">
        <w:rPr>
          <w:rFonts w:ascii="Gill Sans MT" w:hAnsi="Gill Sans MT" w:cs="Arial"/>
          <w:bCs/>
        </w:rPr>
        <w:t>,</w:t>
      </w:r>
      <w:r w:rsidR="003A6FC1" w:rsidRPr="00727573">
        <w:rPr>
          <w:rFonts w:ascii="Gill Sans MT" w:hAnsi="Gill Sans MT" w:cs="Arial"/>
          <w:bCs/>
        </w:rPr>
        <w:t xml:space="preserve"> </w:t>
      </w:r>
      <w:r w:rsidR="00991FDA">
        <w:rPr>
          <w:rFonts w:ascii="Gill Sans MT" w:hAnsi="Gill Sans MT" w:cs="Arial"/>
          <w:bCs/>
        </w:rPr>
        <w:t xml:space="preserve">com energia elétrica (140,1%), </w:t>
      </w:r>
      <w:r w:rsidR="003A6FC1" w:rsidRPr="00727573">
        <w:rPr>
          <w:rFonts w:ascii="Gill Sans MT" w:hAnsi="Gill Sans MT" w:cs="Arial"/>
          <w:bCs/>
        </w:rPr>
        <w:t>com assistência técnica residente (+</w:t>
      </w:r>
      <w:r w:rsidR="00791B6C" w:rsidRPr="00727573">
        <w:rPr>
          <w:rFonts w:ascii="Gill Sans MT" w:hAnsi="Gill Sans MT" w:cs="Arial"/>
          <w:bCs/>
        </w:rPr>
        <w:t>26</w:t>
      </w:r>
      <w:r w:rsidR="003A6FC1" w:rsidRPr="00727573">
        <w:rPr>
          <w:rFonts w:ascii="Gill Sans MT" w:hAnsi="Gill Sans MT" w:cs="Arial"/>
          <w:bCs/>
        </w:rPr>
        <w:t>,</w:t>
      </w:r>
      <w:r w:rsidR="00791B6C" w:rsidRPr="00727573">
        <w:rPr>
          <w:rFonts w:ascii="Gill Sans MT" w:hAnsi="Gill Sans MT" w:cs="Arial"/>
          <w:bCs/>
        </w:rPr>
        <w:t>0</w:t>
      </w:r>
      <w:r w:rsidR="003A6FC1" w:rsidRPr="00727573">
        <w:rPr>
          <w:rFonts w:ascii="Gill Sans MT" w:hAnsi="Gill Sans MT" w:cs="Arial"/>
          <w:bCs/>
        </w:rPr>
        <w:t>%), com rendas e alugueres (+6</w:t>
      </w:r>
      <w:r w:rsidR="00791B6C" w:rsidRPr="00727573">
        <w:rPr>
          <w:rFonts w:ascii="Gill Sans MT" w:hAnsi="Gill Sans MT" w:cs="Arial"/>
          <w:bCs/>
        </w:rPr>
        <w:t>1</w:t>
      </w:r>
      <w:r w:rsidR="003A6FC1" w:rsidRPr="00727573">
        <w:rPr>
          <w:rFonts w:ascii="Gill Sans MT" w:hAnsi="Gill Sans MT" w:cs="Arial"/>
          <w:bCs/>
        </w:rPr>
        <w:t>,</w:t>
      </w:r>
      <w:r w:rsidR="00791B6C" w:rsidRPr="00727573">
        <w:rPr>
          <w:rFonts w:ascii="Gill Sans MT" w:hAnsi="Gill Sans MT" w:cs="Arial"/>
          <w:bCs/>
        </w:rPr>
        <w:t>8</w:t>
      </w:r>
      <w:r w:rsidR="003A6FC1" w:rsidRPr="00727573">
        <w:rPr>
          <w:rFonts w:ascii="Gill Sans MT" w:hAnsi="Gill Sans MT" w:cs="Arial"/>
          <w:bCs/>
        </w:rPr>
        <w:t>%)</w:t>
      </w:r>
      <w:r w:rsidR="00791B6C" w:rsidRPr="00727573">
        <w:rPr>
          <w:rFonts w:ascii="Gill Sans MT" w:hAnsi="Gill Sans MT" w:cs="Arial"/>
          <w:bCs/>
        </w:rPr>
        <w:t xml:space="preserve">, </w:t>
      </w:r>
      <w:r w:rsidR="003A6FC1" w:rsidRPr="00727573">
        <w:rPr>
          <w:rFonts w:ascii="Gill Sans MT" w:hAnsi="Gill Sans MT" w:cs="Arial"/>
          <w:bCs/>
        </w:rPr>
        <w:t>outros serviços (+</w:t>
      </w:r>
      <w:r w:rsidR="00791B6C" w:rsidRPr="00727573">
        <w:rPr>
          <w:rFonts w:ascii="Gill Sans MT" w:hAnsi="Gill Sans MT" w:cs="Arial"/>
          <w:bCs/>
        </w:rPr>
        <w:t>31</w:t>
      </w:r>
      <w:r w:rsidR="003A6FC1" w:rsidRPr="00727573">
        <w:rPr>
          <w:rFonts w:ascii="Gill Sans MT" w:hAnsi="Gill Sans MT" w:cs="Arial"/>
          <w:bCs/>
        </w:rPr>
        <w:t>,</w:t>
      </w:r>
      <w:r w:rsidR="00791B6C" w:rsidRPr="00727573">
        <w:rPr>
          <w:rFonts w:ascii="Gill Sans MT" w:hAnsi="Gill Sans MT" w:cs="Arial"/>
          <w:bCs/>
        </w:rPr>
        <w:t>4</w:t>
      </w:r>
      <w:r w:rsidR="003A6FC1" w:rsidRPr="00727573">
        <w:rPr>
          <w:rFonts w:ascii="Gill Sans MT" w:hAnsi="Gill Sans MT" w:cs="Arial"/>
          <w:bCs/>
        </w:rPr>
        <w:t>%)</w:t>
      </w:r>
      <w:r w:rsidR="00791B6C" w:rsidRPr="00727573">
        <w:rPr>
          <w:rFonts w:ascii="Gill Sans MT" w:hAnsi="Gill Sans MT" w:cs="Arial"/>
          <w:bCs/>
        </w:rPr>
        <w:t xml:space="preserve"> e outros bens (+94,1%)</w:t>
      </w:r>
      <w:r w:rsidR="003A6FC1" w:rsidRPr="00727573">
        <w:rPr>
          <w:rFonts w:ascii="Gill Sans MT" w:hAnsi="Gill Sans MT" w:cs="Arial"/>
          <w:bCs/>
        </w:rPr>
        <w:t xml:space="preserve">. </w:t>
      </w:r>
      <w:r w:rsidR="00727573" w:rsidRPr="00727573">
        <w:rPr>
          <w:rFonts w:ascii="Gill Sans MT" w:hAnsi="Gill Sans MT" w:cs="Arial"/>
          <w:bCs/>
        </w:rPr>
        <w:t>A</w:t>
      </w:r>
      <w:r w:rsidR="007B025B" w:rsidRPr="00727573">
        <w:rPr>
          <w:rFonts w:ascii="Gill Sans MT" w:hAnsi="Gill Sans MT" w:cs="Arial"/>
          <w:bCs/>
        </w:rPr>
        <w:t>s</w:t>
      </w:r>
      <w:r w:rsidR="0018178D" w:rsidRPr="00727573">
        <w:rPr>
          <w:rFonts w:ascii="Gill Sans MT" w:hAnsi="Gill Sans MT" w:cs="Arial"/>
          <w:bCs/>
        </w:rPr>
        <w:t xml:space="preserve"> despesas com juros correntes da dívida interna e externa</w:t>
      </w:r>
      <w:r w:rsidR="007B025B" w:rsidRPr="00727573">
        <w:rPr>
          <w:rFonts w:ascii="Gill Sans MT" w:hAnsi="Gill Sans MT" w:cs="Arial"/>
          <w:bCs/>
        </w:rPr>
        <w:t xml:space="preserve"> </w:t>
      </w:r>
      <w:r w:rsidR="003A6FC1" w:rsidRPr="00727573">
        <w:rPr>
          <w:rFonts w:ascii="Gill Sans MT" w:hAnsi="Gill Sans MT" w:cs="Arial"/>
          <w:bCs/>
        </w:rPr>
        <w:t>diminuíram 3,</w:t>
      </w:r>
      <w:r w:rsidR="00727573" w:rsidRPr="00727573">
        <w:rPr>
          <w:rFonts w:ascii="Gill Sans MT" w:hAnsi="Gill Sans MT" w:cs="Arial"/>
          <w:bCs/>
        </w:rPr>
        <w:t>7</w:t>
      </w:r>
      <w:r w:rsidR="003A6FC1" w:rsidRPr="00727573">
        <w:rPr>
          <w:rFonts w:ascii="Gill Sans MT" w:hAnsi="Gill Sans MT" w:cs="Arial"/>
          <w:bCs/>
        </w:rPr>
        <w:t>%</w:t>
      </w:r>
      <w:r w:rsidR="0018178D" w:rsidRPr="00727573">
        <w:rPr>
          <w:rFonts w:ascii="Gill Sans MT" w:hAnsi="Gill Sans MT" w:cs="Arial"/>
          <w:bCs/>
        </w:rPr>
        <w:t>,</w:t>
      </w:r>
      <w:r w:rsidR="003A6FC1" w:rsidRPr="00727573">
        <w:rPr>
          <w:rFonts w:ascii="Gill Sans MT" w:hAnsi="Gill Sans MT" w:cs="Arial"/>
          <w:bCs/>
        </w:rPr>
        <w:t xml:space="preserve"> dada as reduções dos juros da componente externa (-1</w:t>
      </w:r>
      <w:r w:rsidR="00727573" w:rsidRPr="00727573">
        <w:rPr>
          <w:rFonts w:ascii="Gill Sans MT" w:hAnsi="Gill Sans MT" w:cs="Arial"/>
          <w:bCs/>
        </w:rPr>
        <w:t>4</w:t>
      </w:r>
      <w:r w:rsidR="003A6FC1" w:rsidRPr="00727573">
        <w:rPr>
          <w:rFonts w:ascii="Gill Sans MT" w:hAnsi="Gill Sans MT" w:cs="Arial"/>
          <w:bCs/>
        </w:rPr>
        <w:t xml:space="preserve">,1%), derivado da moratória concedida pelos credores bilaterais para mitigar os efeitos do Covid-19 nos países vulneráveis. </w:t>
      </w:r>
      <w:r w:rsidR="0018178D" w:rsidRPr="00727573">
        <w:rPr>
          <w:rFonts w:ascii="Gill Sans MT" w:hAnsi="Gill Sans MT" w:cs="Arial"/>
          <w:bCs/>
        </w:rPr>
        <w:t xml:space="preserve"> </w:t>
      </w:r>
    </w:p>
    <w:p w14:paraId="24F5974B" w14:textId="13CC11E6" w:rsidR="00B6313F" w:rsidRDefault="003A6FC1" w:rsidP="00546AB6">
      <w:pPr>
        <w:spacing w:line="360" w:lineRule="auto"/>
        <w:jc w:val="both"/>
        <w:rPr>
          <w:rFonts w:ascii="Gill Sans MT" w:hAnsi="Gill Sans MT" w:cs="Arial"/>
          <w:bCs/>
        </w:rPr>
      </w:pPr>
      <w:r w:rsidRPr="00AD2826">
        <w:rPr>
          <w:rFonts w:ascii="Gill Sans MT" w:hAnsi="Gill Sans MT" w:cs="Arial"/>
          <w:bCs/>
        </w:rPr>
        <w:t xml:space="preserve">As despesas com subsídios cresceram </w:t>
      </w:r>
      <w:r w:rsidR="007B025B" w:rsidRPr="00AD2826">
        <w:rPr>
          <w:rFonts w:ascii="Gill Sans MT" w:hAnsi="Gill Sans MT" w:cs="Arial"/>
          <w:bCs/>
        </w:rPr>
        <w:t>2</w:t>
      </w:r>
      <w:r w:rsidR="00AD2826" w:rsidRPr="00AD2826">
        <w:rPr>
          <w:rFonts w:ascii="Gill Sans MT" w:hAnsi="Gill Sans MT" w:cs="Arial"/>
          <w:bCs/>
        </w:rPr>
        <w:t>92</w:t>
      </w:r>
      <w:r w:rsidR="0018178D" w:rsidRPr="00AD2826">
        <w:rPr>
          <w:rFonts w:ascii="Gill Sans MT" w:hAnsi="Gill Sans MT" w:cs="Arial"/>
          <w:bCs/>
        </w:rPr>
        <w:t>,</w:t>
      </w:r>
      <w:r w:rsidR="00AD2826" w:rsidRPr="00AD2826">
        <w:rPr>
          <w:rFonts w:ascii="Gill Sans MT" w:hAnsi="Gill Sans MT" w:cs="Arial"/>
          <w:bCs/>
        </w:rPr>
        <w:t>4</w:t>
      </w:r>
      <w:r w:rsidRPr="00AD2826">
        <w:rPr>
          <w:rFonts w:ascii="Gill Sans MT" w:hAnsi="Gill Sans MT" w:cs="Arial"/>
          <w:bCs/>
        </w:rPr>
        <w:t>%</w:t>
      </w:r>
      <w:r w:rsidR="00A2743F" w:rsidRPr="00AD2826">
        <w:rPr>
          <w:rFonts w:ascii="Gill Sans MT" w:hAnsi="Gill Sans MT" w:cs="Arial"/>
          <w:bCs/>
        </w:rPr>
        <w:t>, justificado pelos subsídios</w:t>
      </w:r>
      <w:r w:rsidR="0018178D" w:rsidRPr="00AD2826">
        <w:rPr>
          <w:rFonts w:ascii="Gill Sans MT" w:hAnsi="Gill Sans MT" w:cs="Arial"/>
          <w:bCs/>
        </w:rPr>
        <w:t xml:space="preserve"> </w:t>
      </w:r>
      <w:r w:rsidR="007B025B" w:rsidRPr="00AD2826">
        <w:rPr>
          <w:rFonts w:ascii="Gill Sans MT" w:hAnsi="Gill Sans MT" w:cs="Arial"/>
          <w:bCs/>
        </w:rPr>
        <w:t xml:space="preserve">transferidos </w:t>
      </w:r>
      <w:r w:rsidR="00A2743F" w:rsidRPr="00AD2826">
        <w:rPr>
          <w:rFonts w:ascii="Gill Sans MT" w:hAnsi="Gill Sans MT" w:cs="Arial"/>
          <w:bCs/>
        </w:rPr>
        <w:t>às empresas privadas não financeira</w:t>
      </w:r>
      <w:r w:rsidR="00E82B4D">
        <w:rPr>
          <w:rFonts w:ascii="Gill Sans MT" w:hAnsi="Gill Sans MT" w:cs="Arial"/>
          <w:bCs/>
        </w:rPr>
        <w:t>s</w:t>
      </w:r>
      <w:r w:rsidR="00AD2826" w:rsidRPr="00AD2826">
        <w:rPr>
          <w:rFonts w:ascii="Gill Sans MT" w:hAnsi="Gill Sans MT" w:cs="Arial"/>
          <w:bCs/>
        </w:rPr>
        <w:t xml:space="preserve">, </w:t>
      </w:r>
      <w:r w:rsidR="00AD2826" w:rsidRPr="00385CF9">
        <w:rPr>
          <w:rFonts w:ascii="Gill Sans MT" w:hAnsi="Gill Sans MT" w:cs="Arial"/>
          <w:bCs/>
        </w:rPr>
        <w:t xml:space="preserve">nomeadamente, o pagamento da indeminização compensatória através do Fundo Autónomo do Desenvolvimento de Transporte Marítimo, como resultado </w:t>
      </w:r>
      <w:r w:rsidR="005F64D3">
        <w:rPr>
          <w:rFonts w:ascii="Gill Sans MT" w:hAnsi="Gill Sans MT" w:cs="Arial"/>
          <w:bCs/>
        </w:rPr>
        <w:t>do défice de</w:t>
      </w:r>
      <w:r w:rsidR="00AD2826" w:rsidRPr="00385CF9">
        <w:rPr>
          <w:rFonts w:ascii="Gill Sans MT" w:hAnsi="Gill Sans MT" w:cs="Arial"/>
          <w:bCs/>
        </w:rPr>
        <w:t xml:space="preserve"> ocupação de passageiros nas viagens marítimas </w:t>
      </w:r>
      <w:proofErr w:type="spellStart"/>
      <w:r w:rsidR="00AD2826" w:rsidRPr="00385CF9">
        <w:rPr>
          <w:rFonts w:ascii="Gill Sans MT" w:hAnsi="Gill Sans MT" w:cs="Arial"/>
          <w:bCs/>
        </w:rPr>
        <w:t>inter-ilhas</w:t>
      </w:r>
      <w:proofErr w:type="spellEnd"/>
      <w:r w:rsidR="00A2743F" w:rsidRPr="00703EEF">
        <w:rPr>
          <w:rFonts w:ascii="Gill Sans MT" w:hAnsi="Gill Sans MT" w:cs="Arial"/>
          <w:bCs/>
        </w:rPr>
        <w:t>.</w:t>
      </w:r>
      <w:r w:rsidR="00703EEF" w:rsidRPr="00385CF9">
        <w:rPr>
          <w:rFonts w:ascii="Gill Sans MT" w:hAnsi="Gill Sans MT" w:cs="Arial"/>
          <w:bCs/>
        </w:rPr>
        <w:t xml:space="preserve"> </w:t>
      </w:r>
      <w:r w:rsidR="00A2743F" w:rsidRPr="000D439B">
        <w:rPr>
          <w:rFonts w:ascii="Gill Sans MT" w:hAnsi="Gill Sans MT" w:cs="Arial"/>
          <w:bCs/>
        </w:rPr>
        <w:t xml:space="preserve">O </w:t>
      </w:r>
      <w:r w:rsidR="0018178D" w:rsidRPr="000D439B">
        <w:rPr>
          <w:rFonts w:ascii="Gill Sans MT" w:hAnsi="Gill Sans MT" w:cs="Arial"/>
          <w:bCs/>
        </w:rPr>
        <w:t xml:space="preserve">aumento nas transferências correntes </w:t>
      </w:r>
      <w:r w:rsidR="00A2743F" w:rsidRPr="000D439B">
        <w:rPr>
          <w:rFonts w:ascii="Gill Sans MT" w:hAnsi="Gill Sans MT" w:cs="Arial"/>
          <w:bCs/>
        </w:rPr>
        <w:t xml:space="preserve">de </w:t>
      </w:r>
      <w:r w:rsidR="00703EEF" w:rsidRPr="000D439B">
        <w:rPr>
          <w:rFonts w:ascii="Gill Sans MT" w:hAnsi="Gill Sans MT" w:cs="Arial"/>
          <w:bCs/>
        </w:rPr>
        <w:t>7</w:t>
      </w:r>
      <w:r w:rsidR="00A2743F" w:rsidRPr="000D439B">
        <w:rPr>
          <w:rFonts w:ascii="Gill Sans MT" w:hAnsi="Gill Sans MT" w:cs="Arial"/>
          <w:bCs/>
        </w:rPr>
        <w:t>,</w:t>
      </w:r>
      <w:r w:rsidR="00703EEF" w:rsidRPr="000D439B">
        <w:rPr>
          <w:rFonts w:ascii="Gill Sans MT" w:hAnsi="Gill Sans MT" w:cs="Arial"/>
          <w:bCs/>
        </w:rPr>
        <w:t>8</w:t>
      </w:r>
      <w:r w:rsidR="00A2743F" w:rsidRPr="000D439B">
        <w:rPr>
          <w:rFonts w:ascii="Gill Sans MT" w:hAnsi="Gill Sans MT" w:cs="Arial"/>
          <w:bCs/>
        </w:rPr>
        <w:t>%</w:t>
      </w:r>
      <w:r w:rsidR="0018178D" w:rsidRPr="000D439B">
        <w:rPr>
          <w:rFonts w:ascii="Gill Sans MT" w:hAnsi="Gill Sans MT" w:cs="Arial"/>
          <w:bCs/>
        </w:rPr>
        <w:t xml:space="preserve">, </w:t>
      </w:r>
      <w:r w:rsidR="00A2743F" w:rsidRPr="000D439B">
        <w:rPr>
          <w:rFonts w:ascii="Gill Sans MT" w:hAnsi="Gill Sans MT" w:cs="Arial"/>
          <w:bCs/>
        </w:rPr>
        <w:t>resulta dos acréscimos ocorridos nas rúbricas Municípios Corrente (+</w:t>
      </w:r>
      <w:r w:rsidR="00703EEF" w:rsidRPr="000D439B">
        <w:rPr>
          <w:rFonts w:ascii="Gill Sans MT" w:hAnsi="Gill Sans MT" w:cs="Arial"/>
          <w:bCs/>
        </w:rPr>
        <w:t>6</w:t>
      </w:r>
      <w:r w:rsidR="00A2743F" w:rsidRPr="000D439B">
        <w:rPr>
          <w:rFonts w:ascii="Gill Sans MT" w:hAnsi="Gill Sans MT" w:cs="Arial"/>
          <w:bCs/>
        </w:rPr>
        <w:t>,</w:t>
      </w:r>
      <w:r w:rsidR="00703EEF" w:rsidRPr="000D439B">
        <w:rPr>
          <w:rFonts w:ascii="Gill Sans MT" w:hAnsi="Gill Sans MT" w:cs="Arial"/>
          <w:bCs/>
        </w:rPr>
        <w:t>3</w:t>
      </w:r>
      <w:r w:rsidR="00A2743F" w:rsidRPr="000D439B">
        <w:rPr>
          <w:rFonts w:ascii="Gill Sans MT" w:hAnsi="Gill Sans MT" w:cs="Arial"/>
          <w:bCs/>
        </w:rPr>
        <w:t>%), Outras Transferências das Administrações Públicas Correntes (+3</w:t>
      </w:r>
      <w:r w:rsidR="00703EEF" w:rsidRPr="000D439B">
        <w:rPr>
          <w:rFonts w:ascii="Gill Sans MT" w:hAnsi="Gill Sans MT" w:cs="Arial"/>
          <w:bCs/>
        </w:rPr>
        <w:t>4</w:t>
      </w:r>
      <w:r w:rsidR="00A2743F" w:rsidRPr="000D439B">
        <w:rPr>
          <w:rFonts w:ascii="Gill Sans MT" w:hAnsi="Gill Sans MT" w:cs="Arial"/>
          <w:bCs/>
        </w:rPr>
        <w:t>,</w:t>
      </w:r>
      <w:r w:rsidR="00703EEF" w:rsidRPr="000D439B">
        <w:rPr>
          <w:rFonts w:ascii="Gill Sans MT" w:hAnsi="Gill Sans MT" w:cs="Arial"/>
          <w:bCs/>
        </w:rPr>
        <w:t>2</w:t>
      </w:r>
      <w:r w:rsidR="008B3983" w:rsidRPr="000D439B">
        <w:rPr>
          <w:rFonts w:ascii="Gill Sans MT" w:hAnsi="Gill Sans MT" w:cs="Arial"/>
          <w:bCs/>
        </w:rPr>
        <w:t>%</w:t>
      </w:r>
      <w:r w:rsidR="00A2743F" w:rsidRPr="000D439B">
        <w:rPr>
          <w:rFonts w:ascii="Gill Sans MT" w:hAnsi="Gill Sans MT" w:cs="Arial"/>
          <w:bCs/>
        </w:rPr>
        <w:t>)</w:t>
      </w:r>
      <w:r w:rsidR="000D439B" w:rsidRPr="000D439B">
        <w:rPr>
          <w:rFonts w:ascii="Gill Sans MT" w:hAnsi="Gill Sans MT" w:cs="Arial"/>
          <w:bCs/>
        </w:rPr>
        <w:t xml:space="preserve">, </w:t>
      </w:r>
      <w:r w:rsidR="00E82B4D">
        <w:rPr>
          <w:rFonts w:ascii="Gill Sans MT" w:hAnsi="Gill Sans MT" w:cs="Arial"/>
          <w:bCs/>
        </w:rPr>
        <w:t>sobretudo</w:t>
      </w:r>
      <w:r w:rsidR="000D439B" w:rsidRPr="000D439B">
        <w:rPr>
          <w:rFonts w:ascii="Gill Sans MT" w:hAnsi="Gill Sans MT" w:cs="Arial"/>
          <w:bCs/>
        </w:rPr>
        <w:t xml:space="preserve"> das transferências e apoios aos municípios no âmbito do combate ao Covid-19</w:t>
      </w:r>
      <w:r w:rsidR="00783A58">
        <w:rPr>
          <w:rFonts w:ascii="Gill Sans MT" w:hAnsi="Gill Sans MT" w:cs="Arial"/>
          <w:bCs/>
        </w:rPr>
        <w:t xml:space="preserve"> e na implementação de programas sociais</w:t>
      </w:r>
      <w:r w:rsidR="00A2743F" w:rsidRPr="00855B93">
        <w:rPr>
          <w:rFonts w:ascii="Gill Sans MT" w:hAnsi="Gill Sans MT" w:cs="Arial"/>
          <w:bCs/>
        </w:rPr>
        <w:t xml:space="preserve">. </w:t>
      </w:r>
    </w:p>
    <w:p w14:paraId="0A182B4D" w14:textId="77777777" w:rsidR="00B06DD7" w:rsidRDefault="004B55F0" w:rsidP="00546AB6">
      <w:pPr>
        <w:spacing w:line="360" w:lineRule="auto"/>
        <w:jc w:val="both"/>
        <w:rPr>
          <w:rFonts w:ascii="Gill Sans MT" w:hAnsi="Gill Sans MT" w:cs="Arial"/>
          <w:bCs/>
        </w:rPr>
      </w:pPr>
      <w:r w:rsidRPr="00855B93">
        <w:rPr>
          <w:rFonts w:ascii="Gill Sans MT" w:hAnsi="Gill Sans MT" w:cs="Arial"/>
          <w:bCs/>
        </w:rPr>
        <w:t>As d</w:t>
      </w:r>
      <w:r w:rsidR="00B3783A" w:rsidRPr="00855B93">
        <w:rPr>
          <w:rFonts w:ascii="Gill Sans MT" w:hAnsi="Gill Sans MT" w:cs="Arial"/>
          <w:bCs/>
        </w:rPr>
        <w:t>espesas com</w:t>
      </w:r>
      <w:r w:rsidR="00D4014E" w:rsidRPr="00855B93">
        <w:rPr>
          <w:rFonts w:ascii="Gill Sans MT" w:hAnsi="Gill Sans MT" w:cs="Arial"/>
          <w:bCs/>
        </w:rPr>
        <w:t xml:space="preserve"> benefícios sociais cresceram </w:t>
      </w:r>
      <w:r w:rsidR="003A4016" w:rsidRPr="00855B93">
        <w:rPr>
          <w:rFonts w:ascii="Gill Sans MT" w:hAnsi="Gill Sans MT" w:cs="Arial"/>
          <w:bCs/>
        </w:rPr>
        <w:t>1</w:t>
      </w:r>
      <w:r w:rsidR="00783A58" w:rsidRPr="00855B93">
        <w:rPr>
          <w:rFonts w:ascii="Gill Sans MT" w:hAnsi="Gill Sans MT" w:cs="Arial"/>
          <w:bCs/>
        </w:rPr>
        <w:t>3</w:t>
      </w:r>
      <w:r w:rsidR="0018178D" w:rsidRPr="00855B93">
        <w:rPr>
          <w:rFonts w:ascii="Gill Sans MT" w:hAnsi="Gill Sans MT" w:cs="Arial"/>
          <w:bCs/>
        </w:rPr>
        <w:t>,</w:t>
      </w:r>
      <w:r w:rsidR="00783A58" w:rsidRPr="00855B93">
        <w:rPr>
          <w:rFonts w:ascii="Gill Sans MT" w:hAnsi="Gill Sans MT" w:cs="Arial"/>
          <w:bCs/>
        </w:rPr>
        <w:t>7</w:t>
      </w:r>
      <w:r w:rsidR="00D4014E" w:rsidRPr="00855B93">
        <w:rPr>
          <w:rFonts w:ascii="Gill Sans MT" w:hAnsi="Gill Sans MT" w:cs="Arial"/>
          <w:bCs/>
        </w:rPr>
        <w:t>%</w:t>
      </w:r>
      <w:r w:rsidR="00B3783A" w:rsidRPr="00855B93">
        <w:rPr>
          <w:rFonts w:ascii="Gill Sans MT" w:hAnsi="Gill Sans MT" w:cs="Arial"/>
          <w:bCs/>
        </w:rPr>
        <w:t xml:space="preserve">, </w:t>
      </w:r>
      <w:r w:rsidR="00D4014E" w:rsidRPr="00855B93">
        <w:rPr>
          <w:rFonts w:ascii="Gill Sans MT" w:hAnsi="Gill Sans MT" w:cs="Arial"/>
          <w:bCs/>
        </w:rPr>
        <w:t>devido</w:t>
      </w:r>
      <w:r w:rsidR="00783A58" w:rsidRPr="00855B93">
        <w:rPr>
          <w:rFonts w:ascii="Gill Sans MT" w:hAnsi="Gill Sans MT" w:cs="Arial"/>
          <w:bCs/>
        </w:rPr>
        <w:t xml:space="preserve"> a</w:t>
      </w:r>
      <w:r w:rsidR="00B3783A" w:rsidRPr="00855B93">
        <w:rPr>
          <w:rFonts w:ascii="Gill Sans MT" w:hAnsi="Gill Sans MT" w:cs="Arial"/>
          <w:bCs/>
        </w:rPr>
        <w:t>o aumento</w:t>
      </w:r>
      <w:r w:rsidR="00783A58" w:rsidRPr="00855B93">
        <w:rPr>
          <w:rFonts w:ascii="Gill Sans MT" w:hAnsi="Gill Sans MT" w:cs="Arial"/>
          <w:bCs/>
        </w:rPr>
        <w:t xml:space="preserve"> registado</w:t>
      </w:r>
      <w:r w:rsidR="00B3783A" w:rsidRPr="00855B93">
        <w:rPr>
          <w:rFonts w:ascii="Gill Sans MT" w:hAnsi="Gill Sans MT" w:cs="Arial"/>
          <w:bCs/>
        </w:rPr>
        <w:t xml:space="preserve"> </w:t>
      </w:r>
      <w:r w:rsidR="005B25FA" w:rsidRPr="00855B93">
        <w:rPr>
          <w:rFonts w:ascii="Gill Sans MT" w:hAnsi="Gill Sans MT" w:cs="Arial"/>
          <w:bCs/>
        </w:rPr>
        <w:t>nas despesas executadas na rúbrica out</w:t>
      </w:r>
      <w:r w:rsidR="00D4014E" w:rsidRPr="00855B93">
        <w:rPr>
          <w:rFonts w:ascii="Gill Sans MT" w:hAnsi="Gill Sans MT" w:cs="Arial"/>
          <w:bCs/>
        </w:rPr>
        <w:t>ros benefícios em numerário (+</w:t>
      </w:r>
      <w:r w:rsidR="00783A58" w:rsidRPr="00855B93">
        <w:rPr>
          <w:rFonts w:ascii="Gill Sans MT" w:hAnsi="Gill Sans MT" w:cs="Arial"/>
          <w:bCs/>
        </w:rPr>
        <w:t>121</w:t>
      </w:r>
      <w:r w:rsidR="005B25FA" w:rsidRPr="00855B93">
        <w:rPr>
          <w:rFonts w:ascii="Gill Sans MT" w:hAnsi="Gill Sans MT" w:cs="Arial"/>
          <w:bCs/>
        </w:rPr>
        <w:t>,</w:t>
      </w:r>
      <w:r w:rsidR="00D4014E" w:rsidRPr="00855B93">
        <w:rPr>
          <w:rFonts w:ascii="Gill Sans MT" w:hAnsi="Gill Sans MT" w:cs="Arial"/>
          <w:bCs/>
        </w:rPr>
        <w:t>2</w:t>
      </w:r>
      <w:r w:rsidRPr="00855B93">
        <w:rPr>
          <w:rFonts w:ascii="Gill Sans MT" w:hAnsi="Gill Sans MT" w:cs="Arial"/>
          <w:bCs/>
        </w:rPr>
        <w:t xml:space="preserve">%) </w:t>
      </w:r>
      <w:r w:rsidR="005B25FA" w:rsidRPr="00855B93">
        <w:rPr>
          <w:rFonts w:ascii="Gill Sans MT" w:hAnsi="Gill Sans MT" w:cs="Arial"/>
          <w:bCs/>
        </w:rPr>
        <w:t>no âmbito do projeto Covid-19</w:t>
      </w:r>
      <w:r w:rsidR="00C8034B" w:rsidRPr="00855B93">
        <w:rPr>
          <w:rFonts w:ascii="Gill Sans MT" w:hAnsi="Gill Sans MT" w:cs="Arial"/>
          <w:bCs/>
        </w:rPr>
        <w:t>,</w:t>
      </w:r>
      <w:r w:rsidR="005B25FA" w:rsidRPr="00855B93">
        <w:rPr>
          <w:rFonts w:ascii="Gill Sans MT" w:hAnsi="Gill Sans MT" w:cs="Arial"/>
          <w:bCs/>
        </w:rPr>
        <w:t xml:space="preserve"> na implemen</w:t>
      </w:r>
      <w:r w:rsidR="00C8034B" w:rsidRPr="00855B93">
        <w:rPr>
          <w:rFonts w:ascii="Gill Sans MT" w:hAnsi="Gill Sans MT" w:cs="Arial"/>
          <w:bCs/>
        </w:rPr>
        <w:t>tação do rendimento solidário, n</w:t>
      </w:r>
      <w:r w:rsidR="005B25FA" w:rsidRPr="00855B93">
        <w:rPr>
          <w:rFonts w:ascii="Gill Sans MT" w:hAnsi="Gill Sans MT" w:cs="Arial"/>
          <w:bCs/>
        </w:rPr>
        <w:t>o pagamento de estágios profis</w:t>
      </w:r>
      <w:r w:rsidR="00C8034B" w:rsidRPr="00855B93">
        <w:rPr>
          <w:rFonts w:ascii="Gill Sans MT" w:hAnsi="Gill Sans MT" w:cs="Arial"/>
          <w:bCs/>
        </w:rPr>
        <w:t>sionais, no projeto de inclusão social, n</w:t>
      </w:r>
      <w:r w:rsidR="005B25FA" w:rsidRPr="00855B93">
        <w:rPr>
          <w:rFonts w:ascii="Gill Sans MT" w:hAnsi="Gill Sans MT" w:cs="Arial"/>
          <w:bCs/>
        </w:rPr>
        <w:t>a inserção e for</w:t>
      </w:r>
      <w:r w:rsidR="00C8034B" w:rsidRPr="00855B93">
        <w:rPr>
          <w:rFonts w:ascii="Gill Sans MT" w:hAnsi="Gill Sans MT" w:cs="Arial"/>
          <w:bCs/>
        </w:rPr>
        <w:t>mação para a empregabilidade</w:t>
      </w:r>
      <w:r w:rsidR="00D4014E" w:rsidRPr="00855B93">
        <w:rPr>
          <w:rFonts w:ascii="Gill Sans MT" w:hAnsi="Gill Sans MT" w:cs="Arial"/>
          <w:bCs/>
        </w:rPr>
        <w:t xml:space="preserve">, </w:t>
      </w:r>
      <w:r w:rsidR="005F64D3">
        <w:rPr>
          <w:rFonts w:ascii="Gill Sans MT" w:hAnsi="Gill Sans MT" w:cs="Arial"/>
          <w:bCs/>
        </w:rPr>
        <w:t>n</w:t>
      </w:r>
      <w:r w:rsidR="00D4014E" w:rsidRPr="00855B93">
        <w:rPr>
          <w:rFonts w:ascii="Gill Sans MT" w:hAnsi="Gill Sans MT" w:cs="Arial"/>
          <w:bCs/>
        </w:rPr>
        <w:t>o projeto de apoio integrado à família</w:t>
      </w:r>
      <w:r w:rsidR="00B83357" w:rsidRPr="00855B93">
        <w:rPr>
          <w:rFonts w:ascii="Gill Sans MT" w:hAnsi="Gill Sans MT" w:cs="Arial"/>
          <w:bCs/>
        </w:rPr>
        <w:t xml:space="preserve">, </w:t>
      </w:r>
      <w:r w:rsidR="00C8034B" w:rsidRPr="00855B93">
        <w:rPr>
          <w:rFonts w:ascii="Gill Sans MT" w:hAnsi="Gill Sans MT" w:cs="Arial"/>
          <w:bCs/>
        </w:rPr>
        <w:t>n</w:t>
      </w:r>
      <w:r w:rsidR="005B25FA" w:rsidRPr="00855B93">
        <w:rPr>
          <w:rFonts w:ascii="Gill Sans MT" w:hAnsi="Gill Sans MT" w:cs="Arial"/>
          <w:bCs/>
        </w:rPr>
        <w:t>a implementação do rendimento social de inclusão</w:t>
      </w:r>
      <w:r w:rsidR="00B83357" w:rsidRPr="00855B93">
        <w:rPr>
          <w:rFonts w:ascii="Gill Sans MT" w:hAnsi="Gill Sans MT" w:cs="Arial"/>
          <w:bCs/>
        </w:rPr>
        <w:t xml:space="preserve"> e d</w:t>
      </w:r>
      <w:r w:rsidR="005B25FA" w:rsidRPr="00855B93">
        <w:rPr>
          <w:rFonts w:ascii="Gill Sans MT" w:hAnsi="Gill Sans MT" w:cs="Arial"/>
          <w:bCs/>
        </w:rPr>
        <w:t>o impacto da adesão de vários funcionários públicos ao regime de pensão antecipada</w:t>
      </w:r>
      <w:r w:rsidR="00B83357" w:rsidRPr="00855B93">
        <w:rPr>
          <w:rFonts w:ascii="Gill Sans MT" w:hAnsi="Gill Sans MT" w:cs="Arial"/>
          <w:bCs/>
        </w:rPr>
        <w:t>,</w:t>
      </w:r>
      <w:r w:rsidR="005F64D3">
        <w:rPr>
          <w:rFonts w:ascii="Gill Sans MT" w:hAnsi="Gill Sans MT" w:cs="Arial"/>
          <w:bCs/>
        </w:rPr>
        <w:t xml:space="preserve"> </w:t>
      </w:r>
      <w:r w:rsidR="00B83357" w:rsidRPr="00855B93">
        <w:rPr>
          <w:rFonts w:ascii="Gill Sans MT" w:hAnsi="Gill Sans MT" w:cs="Arial"/>
          <w:bCs/>
        </w:rPr>
        <w:t xml:space="preserve">da </w:t>
      </w:r>
      <w:r w:rsidR="00A6357E" w:rsidRPr="00855B93">
        <w:rPr>
          <w:rFonts w:ascii="Gill Sans MT" w:hAnsi="Gill Sans MT" w:cs="Arial"/>
          <w:bCs/>
        </w:rPr>
        <w:t>reforma dos contratados locais nas embaixadas e serviços consulares e da evolução dos aposentados do regime da Administração Pública</w:t>
      </w:r>
      <w:r w:rsidR="005B25FA" w:rsidRPr="00855B93">
        <w:rPr>
          <w:rFonts w:ascii="Gill Sans MT" w:hAnsi="Gill Sans MT" w:cs="Arial"/>
          <w:bCs/>
        </w:rPr>
        <w:t>.</w:t>
      </w:r>
      <w:r w:rsidR="00E61CB2" w:rsidRPr="00855B93">
        <w:rPr>
          <w:rFonts w:ascii="Gill Sans MT" w:hAnsi="Gill Sans MT" w:cs="Arial"/>
          <w:bCs/>
        </w:rPr>
        <w:t xml:space="preserve"> </w:t>
      </w:r>
    </w:p>
    <w:p w14:paraId="51A4F1CE" w14:textId="6EBAA9FC" w:rsidR="00517C85" w:rsidRPr="00B6313F" w:rsidRDefault="00D4014E" w:rsidP="00546AB6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  <w:r w:rsidRPr="00246255">
        <w:rPr>
          <w:rFonts w:ascii="Gill Sans MT" w:hAnsi="Gill Sans MT" w:cs="Arial"/>
          <w:bCs/>
        </w:rPr>
        <w:t>A</w:t>
      </w:r>
      <w:r w:rsidR="00E61CB2" w:rsidRPr="00246255">
        <w:rPr>
          <w:rFonts w:ascii="Gill Sans MT" w:hAnsi="Gill Sans MT" w:cs="Arial"/>
          <w:bCs/>
        </w:rPr>
        <w:t>s</w:t>
      </w:r>
      <w:r w:rsidR="00656851" w:rsidRPr="00246255">
        <w:rPr>
          <w:rFonts w:ascii="Gill Sans MT" w:hAnsi="Gill Sans MT" w:cs="Arial"/>
          <w:bCs/>
        </w:rPr>
        <w:t xml:space="preserve"> outras despesas</w:t>
      </w:r>
      <w:r w:rsidRPr="00246255">
        <w:rPr>
          <w:rFonts w:ascii="Gill Sans MT" w:hAnsi="Gill Sans MT" w:cs="Arial"/>
          <w:bCs/>
        </w:rPr>
        <w:t>, por sua vez,</w:t>
      </w:r>
      <w:r w:rsidR="00656851" w:rsidRPr="00246255">
        <w:rPr>
          <w:rFonts w:ascii="Gill Sans MT" w:hAnsi="Gill Sans MT" w:cs="Arial"/>
          <w:bCs/>
        </w:rPr>
        <w:t xml:space="preserve"> diminuíram </w:t>
      </w:r>
      <w:r w:rsidR="00246255" w:rsidRPr="00246255">
        <w:rPr>
          <w:rFonts w:ascii="Gill Sans MT" w:hAnsi="Gill Sans MT" w:cs="Arial"/>
          <w:bCs/>
        </w:rPr>
        <w:t>62</w:t>
      </w:r>
      <w:r w:rsidR="00656851" w:rsidRPr="00246255">
        <w:rPr>
          <w:rFonts w:ascii="Gill Sans MT" w:hAnsi="Gill Sans MT" w:cs="Arial"/>
          <w:bCs/>
        </w:rPr>
        <w:t>,</w:t>
      </w:r>
      <w:r w:rsidR="00246255" w:rsidRPr="00246255">
        <w:rPr>
          <w:rFonts w:ascii="Gill Sans MT" w:hAnsi="Gill Sans MT" w:cs="Arial"/>
          <w:bCs/>
        </w:rPr>
        <w:t>5</w:t>
      </w:r>
      <w:r w:rsidR="001904B8">
        <w:rPr>
          <w:rFonts w:ascii="Gill Sans MT" w:hAnsi="Gill Sans MT" w:cs="Arial"/>
          <w:bCs/>
        </w:rPr>
        <w:t>%</w:t>
      </w:r>
      <w:r w:rsidR="00656851" w:rsidRPr="00246255">
        <w:rPr>
          <w:rFonts w:ascii="Gill Sans MT" w:hAnsi="Gill Sans MT" w:cs="Arial"/>
          <w:bCs/>
        </w:rPr>
        <w:t xml:space="preserve"> face ao período homólogo, </w:t>
      </w:r>
      <w:r w:rsidR="00AC2AF0">
        <w:rPr>
          <w:rFonts w:ascii="Gill Sans MT" w:hAnsi="Gill Sans MT" w:cs="Arial"/>
          <w:bCs/>
        </w:rPr>
        <w:t>derivado</w:t>
      </w:r>
      <w:r w:rsidR="00C8599F">
        <w:rPr>
          <w:rFonts w:ascii="Gill Sans MT" w:hAnsi="Gill Sans MT" w:cs="Arial"/>
          <w:bCs/>
        </w:rPr>
        <w:t xml:space="preserve"> da</w:t>
      </w:r>
      <w:r w:rsidR="00656851" w:rsidRPr="00246255">
        <w:rPr>
          <w:rFonts w:ascii="Gill Sans MT" w:hAnsi="Gill Sans MT" w:cs="Arial"/>
          <w:bCs/>
        </w:rPr>
        <w:t xml:space="preserve"> diminuição</w:t>
      </w:r>
      <w:r w:rsidRPr="00246255">
        <w:rPr>
          <w:rFonts w:ascii="Gill Sans MT" w:hAnsi="Gill Sans MT" w:cs="Arial"/>
          <w:bCs/>
        </w:rPr>
        <w:t xml:space="preserve"> da necessidade de pagamento</w:t>
      </w:r>
      <w:r w:rsidR="00656851" w:rsidRPr="00246255">
        <w:rPr>
          <w:rFonts w:ascii="Gill Sans MT" w:hAnsi="Gill Sans MT" w:cs="Arial"/>
          <w:bCs/>
        </w:rPr>
        <w:t xml:space="preserve"> da</w:t>
      </w:r>
      <w:r w:rsidRPr="00246255">
        <w:rPr>
          <w:rFonts w:ascii="Gill Sans MT" w:hAnsi="Gill Sans MT" w:cs="Arial"/>
          <w:bCs/>
        </w:rPr>
        <w:t>s restituições</w:t>
      </w:r>
      <w:r w:rsidR="00656851" w:rsidRPr="00246255">
        <w:rPr>
          <w:rFonts w:ascii="Gill Sans MT" w:hAnsi="Gill Sans MT" w:cs="Arial"/>
          <w:bCs/>
        </w:rPr>
        <w:t xml:space="preserve"> do IVA e do IUR em </w:t>
      </w:r>
      <w:r w:rsidR="00246255" w:rsidRPr="00246255">
        <w:rPr>
          <w:rFonts w:ascii="Gill Sans MT" w:hAnsi="Gill Sans MT" w:cs="Arial"/>
          <w:bCs/>
        </w:rPr>
        <w:t>76</w:t>
      </w:r>
      <w:r w:rsidR="00656851" w:rsidRPr="00246255">
        <w:rPr>
          <w:rFonts w:ascii="Gill Sans MT" w:hAnsi="Gill Sans MT" w:cs="Arial"/>
          <w:bCs/>
        </w:rPr>
        <w:t>,</w:t>
      </w:r>
      <w:r w:rsidR="00246255" w:rsidRPr="00246255">
        <w:rPr>
          <w:rFonts w:ascii="Gill Sans MT" w:hAnsi="Gill Sans MT" w:cs="Arial"/>
          <w:bCs/>
        </w:rPr>
        <w:t>1</w:t>
      </w:r>
      <w:r w:rsidR="00656851" w:rsidRPr="00246255">
        <w:rPr>
          <w:rFonts w:ascii="Gill Sans MT" w:hAnsi="Gill Sans MT" w:cs="Arial"/>
          <w:bCs/>
        </w:rPr>
        <w:t xml:space="preserve">% e </w:t>
      </w:r>
      <w:r w:rsidR="00246255" w:rsidRPr="00246255">
        <w:rPr>
          <w:rFonts w:ascii="Gill Sans MT" w:hAnsi="Gill Sans MT" w:cs="Arial"/>
          <w:bCs/>
        </w:rPr>
        <w:t>91</w:t>
      </w:r>
      <w:r w:rsidR="00656851" w:rsidRPr="00246255">
        <w:rPr>
          <w:rFonts w:ascii="Gill Sans MT" w:hAnsi="Gill Sans MT" w:cs="Arial"/>
          <w:bCs/>
        </w:rPr>
        <w:t>,</w:t>
      </w:r>
      <w:r w:rsidR="00246255" w:rsidRPr="00246255">
        <w:rPr>
          <w:rFonts w:ascii="Gill Sans MT" w:hAnsi="Gill Sans MT" w:cs="Arial"/>
          <w:bCs/>
        </w:rPr>
        <w:t>5</w:t>
      </w:r>
      <w:r w:rsidR="00656851" w:rsidRPr="00246255">
        <w:rPr>
          <w:rFonts w:ascii="Gill Sans MT" w:hAnsi="Gill Sans MT" w:cs="Arial"/>
          <w:bCs/>
        </w:rPr>
        <w:t xml:space="preserve">%, respetivamente, </w:t>
      </w:r>
      <w:r w:rsidR="00246255" w:rsidRPr="00246255">
        <w:rPr>
          <w:rFonts w:ascii="Gill Sans MT" w:hAnsi="Gill Sans MT" w:cs="Arial"/>
          <w:bCs/>
        </w:rPr>
        <w:t>do</w:t>
      </w:r>
      <w:r w:rsidR="00656851" w:rsidRPr="00246255">
        <w:rPr>
          <w:rFonts w:ascii="Gill Sans MT" w:hAnsi="Gill Sans MT" w:cs="Arial"/>
          <w:bCs/>
        </w:rPr>
        <w:t xml:space="preserve"> pagamento de indemnizações</w:t>
      </w:r>
      <w:r w:rsidR="00E61CB2" w:rsidRPr="00246255">
        <w:rPr>
          <w:rFonts w:ascii="Gill Sans MT" w:hAnsi="Gill Sans MT" w:cs="Arial"/>
          <w:bCs/>
        </w:rPr>
        <w:t xml:space="preserve"> (-</w:t>
      </w:r>
      <w:r w:rsidR="00246255" w:rsidRPr="00246255">
        <w:rPr>
          <w:rFonts w:ascii="Gill Sans MT" w:hAnsi="Gill Sans MT" w:cs="Arial"/>
          <w:bCs/>
        </w:rPr>
        <w:t>86</w:t>
      </w:r>
      <w:r w:rsidR="00E61CB2" w:rsidRPr="00246255">
        <w:rPr>
          <w:rFonts w:ascii="Gill Sans MT" w:hAnsi="Gill Sans MT" w:cs="Arial"/>
          <w:bCs/>
        </w:rPr>
        <w:t>,</w:t>
      </w:r>
      <w:r w:rsidRPr="00246255">
        <w:rPr>
          <w:rFonts w:ascii="Gill Sans MT" w:hAnsi="Gill Sans MT" w:cs="Arial"/>
          <w:bCs/>
        </w:rPr>
        <w:t>9</w:t>
      </w:r>
      <w:r w:rsidR="00E61CB2" w:rsidRPr="00246255">
        <w:rPr>
          <w:rFonts w:ascii="Gill Sans MT" w:hAnsi="Gill Sans MT" w:cs="Arial"/>
          <w:bCs/>
        </w:rPr>
        <w:t xml:space="preserve">%), </w:t>
      </w:r>
      <w:r w:rsidR="00246255" w:rsidRPr="00246255">
        <w:rPr>
          <w:rFonts w:ascii="Gill Sans MT" w:hAnsi="Gill Sans MT" w:cs="Arial"/>
          <w:bCs/>
        </w:rPr>
        <w:t>de</w:t>
      </w:r>
      <w:r w:rsidR="00E61CB2" w:rsidRPr="00246255">
        <w:rPr>
          <w:rFonts w:ascii="Gill Sans MT" w:hAnsi="Gill Sans MT" w:cs="Arial"/>
          <w:bCs/>
        </w:rPr>
        <w:t xml:space="preserve"> outras despesas não residual (-</w:t>
      </w:r>
      <w:r w:rsidR="00246255" w:rsidRPr="00246255">
        <w:rPr>
          <w:rFonts w:ascii="Gill Sans MT" w:hAnsi="Gill Sans MT" w:cs="Arial"/>
          <w:bCs/>
        </w:rPr>
        <w:t>2</w:t>
      </w:r>
      <w:r w:rsidRPr="00246255">
        <w:rPr>
          <w:rFonts w:ascii="Gill Sans MT" w:hAnsi="Gill Sans MT" w:cs="Arial"/>
          <w:bCs/>
        </w:rPr>
        <w:t>2</w:t>
      </w:r>
      <w:r w:rsidR="00E61CB2" w:rsidRPr="00246255">
        <w:rPr>
          <w:rFonts w:ascii="Gill Sans MT" w:hAnsi="Gill Sans MT" w:cs="Arial"/>
          <w:bCs/>
        </w:rPr>
        <w:t>,</w:t>
      </w:r>
      <w:r w:rsidRPr="00246255">
        <w:rPr>
          <w:rFonts w:ascii="Gill Sans MT" w:hAnsi="Gill Sans MT" w:cs="Arial"/>
          <w:bCs/>
        </w:rPr>
        <w:t>5</w:t>
      </w:r>
      <w:r w:rsidR="00246255" w:rsidRPr="00246255">
        <w:rPr>
          <w:rFonts w:ascii="Gill Sans MT" w:hAnsi="Gill Sans MT" w:cs="Arial"/>
          <w:bCs/>
        </w:rPr>
        <w:t>%), d</w:t>
      </w:r>
      <w:r w:rsidR="00E61CB2" w:rsidRPr="00246255">
        <w:rPr>
          <w:rFonts w:ascii="Gill Sans MT" w:hAnsi="Gill Sans MT" w:cs="Arial"/>
          <w:bCs/>
        </w:rPr>
        <w:t>as despesas com organizações governamentais (-</w:t>
      </w:r>
      <w:r w:rsidRPr="00246255">
        <w:rPr>
          <w:rFonts w:ascii="Gill Sans MT" w:hAnsi="Gill Sans MT" w:cs="Arial"/>
          <w:bCs/>
        </w:rPr>
        <w:t>5</w:t>
      </w:r>
      <w:r w:rsidR="00246255" w:rsidRPr="00246255">
        <w:rPr>
          <w:rFonts w:ascii="Gill Sans MT" w:hAnsi="Gill Sans MT" w:cs="Arial"/>
          <w:bCs/>
        </w:rPr>
        <w:t>2</w:t>
      </w:r>
      <w:r w:rsidR="00E61CB2" w:rsidRPr="00246255">
        <w:rPr>
          <w:rFonts w:ascii="Gill Sans MT" w:hAnsi="Gill Sans MT" w:cs="Arial"/>
          <w:bCs/>
        </w:rPr>
        <w:t>,</w:t>
      </w:r>
      <w:r w:rsidR="00246255" w:rsidRPr="00246255">
        <w:rPr>
          <w:rFonts w:ascii="Gill Sans MT" w:hAnsi="Gill Sans MT" w:cs="Arial"/>
          <w:bCs/>
        </w:rPr>
        <w:t>4</w:t>
      </w:r>
      <w:r w:rsidRPr="00246255">
        <w:rPr>
          <w:rFonts w:ascii="Gill Sans MT" w:hAnsi="Gill Sans MT" w:cs="Arial"/>
          <w:bCs/>
        </w:rPr>
        <w:t xml:space="preserve">), </w:t>
      </w:r>
      <w:r w:rsidR="00246255" w:rsidRPr="00246255">
        <w:rPr>
          <w:rFonts w:ascii="Gill Sans MT" w:hAnsi="Gill Sans MT" w:cs="Arial"/>
          <w:bCs/>
        </w:rPr>
        <w:t>d</w:t>
      </w:r>
      <w:r w:rsidR="00656851" w:rsidRPr="00246255">
        <w:rPr>
          <w:rFonts w:ascii="Gill Sans MT" w:hAnsi="Gill Sans MT" w:cs="Arial"/>
          <w:bCs/>
        </w:rPr>
        <w:t xml:space="preserve">as bolsas de estudos e outros benefícios </w:t>
      </w:r>
      <w:r w:rsidR="00E61CB2" w:rsidRPr="00246255">
        <w:rPr>
          <w:rFonts w:ascii="Gill Sans MT" w:hAnsi="Gill Sans MT" w:cs="Arial"/>
          <w:bCs/>
        </w:rPr>
        <w:t>(-</w:t>
      </w:r>
      <w:r w:rsidR="00246255" w:rsidRPr="00246255">
        <w:rPr>
          <w:rFonts w:ascii="Gill Sans MT" w:hAnsi="Gill Sans MT" w:cs="Arial"/>
          <w:bCs/>
        </w:rPr>
        <w:t>7</w:t>
      </w:r>
      <w:r w:rsidR="00E61CB2" w:rsidRPr="00246255">
        <w:rPr>
          <w:rFonts w:ascii="Gill Sans MT" w:hAnsi="Gill Sans MT" w:cs="Arial"/>
          <w:bCs/>
        </w:rPr>
        <w:t>,</w:t>
      </w:r>
      <w:r w:rsidR="00246255" w:rsidRPr="00246255">
        <w:rPr>
          <w:rFonts w:ascii="Gill Sans MT" w:hAnsi="Gill Sans MT" w:cs="Arial"/>
          <w:bCs/>
        </w:rPr>
        <w:t>0</w:t>
      </w:r>
      <w:r w:rsidR="00E61CB2" w:rsidRPr="00246255">
        <w:rPr>
          <w:rFonts w:ascii="Gill Sans MT" w:hAnsi="Gill Sans MT" w:cs="Arial"/>
          <w:bCs/>
        </w:rPr>
        <w:t>%)</w:t>
      </w:r>
      <w:r w:rsidR="00246255" w:rsidRPr="00246255">
        <w:rPr>
          <w:rFonts w:ascii="Gill Sans MT" w:hAnsi="Gill Sans MT" w:cs="Arial"/>
          <w:bCs/>
        </w:rPr>
        <w:t xml:space="preserve">, de outras de capital (-40,2%) </w:t>
      </w:r>
      <w:r w:rsidRPr="00246255">
        <w:rPr>
          <w:rFonts w:ascii="Gill Sans MT" w:hAnsi="Gill Sans MT" w:cs="Arial"/>
          <w:bCs/>
        </w:rPr>
        <w:t xml:space="preserve">e </w:t>
      </w:r>
      <w:r w:rsidR="00246255" w:rsidRPr="00246255">
        <w:rPr>
          <w:rFonts w:ascii="Gill Sans MT" w:hAnsi="Gill Sans MT" w:cs="Arial"/>
          <w:bCs/>
        </w:rPr>
        <w:t xml:space="preserve">de </w:t>
      </w:r>
      <w:r w:rsidRPr="00246255">
        <w:rPr>
          <w:rFonts w:ascii="Gill Sans MT" w:hAnsi="Gill Sans MT" w:cs="Arial"/>
          <w:bCs/>
        </w:rPr>
        <w:t>outras correntes (-2</w:t>
      </w:r>
      <w:r w:rsidR="00246255" w:rsidRPr="00246255">
        <w:rPr>
          <w:rFonts w:ascii="Gill Sans MT" w:hAnsi="Gill Sans MT" w:cs="Arial"/>
          <w:bCs/>
        </w:rPr>
        <w:t>2</w:t>
      </w:r>
      <w:r w:rsidRPr="00246255">
        <w:rPr>
          <w:rFonts w:ascii="Gill Sans MT" w:hAnsi="Gill Sans MT" w:cs="Arial"/>
          <w:bCs/>
        </w:rPr>
        <w:t>,</w:t>
      </w:r>
      <w:r w:rsidR="00246255" w:rsidRPr="00246255">
        <w:rPr>
          <w:rFonts w:ascii="Gill Sans MT" w:hAnsi="Gill Sans MT" w:cs="Arial"/>
          <w:bCs/>
        </w:rPr>
        <w:t>3</w:t>
      </w:r>
      <w:r w:rsidRPr="00246255">
        <w:rPr>
          <w:rFonts w:ascii="Gill Sans MT" w:hAnsi="Gill Sans MT" w:cs="Arial"/>
          <w:bCs/>
        </w:rPr>
        <w:t>%)</w:t>
      </w:r>
      <w:r w:rsidR="00656851" w:rsidRPr="00246255">
        <w:rPr>
          <w:rFonts w:ascii="Gill Sans MT" w:hAnsi="Gill Sans MT" w:cs="Arial"/>
          <w:bCs/>
        </w:rPr>
        <w:t>.</w:t>
      </w:r>
    </w:p>
    <w:p w14:paraId="2B5DC615" w14:textId="77777777" w:rsidR="00C36DF1" w:rsidRDefault="00C36DF1" w:rsidP="00546AB6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281BFD71" w14:textId="77777777" w:rsidR="00C36DF1" w:rsidRDefault="00C36DF1" w:rsidP="00546AB6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14FB7F48" w14:textId="77777777" w:rsidR="00C36DF1" w:rsidRDefault="00C36DF1" w:rsidP="00546AB6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6CAB6E5D" w14:textId="77777777" w:rsidR="00C36DF1" w:rsidRDefault="00C36DF1" w:rsidP="00546AB6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4697E64F" w14:textId="7B6855AB" w:rsidR="00546AB6" w:rsidRDefault="00546AB6" w:rsidP="00546AB6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lastRenderedPageBreak/>
        <w:t xml:space="preserve">Gráfico </w:t>
      </w:r>
      <w:r w:rsidR="006E1B2E">
        <w:rPr>
          <w:rFonts w:ascii="Gill Sans MT" w:eastAsia="Calibri" w:hAnsi="Gill Sans MT" w:cs="Times New Roman"/>
          <w:b/>
          <w:bCs/>
        </w:rPr>
        <w:t>1</w:t>
      </w:r>
      <w:r w:rsidR="00105A2D">
        <w:rPr>
          <w:rFonts w:ascii="Gill Sans MT" w:eastAsia="Calibri" w:hAnsi="Gill Sans MT" w:cs="Times New Roman"/>
          <w:b/>
          <w:bCs/>
        </w:rPr>
        <w:t>4</w:t>
      </w:r>
      <w:r>
        <w:rPr>
          <w:rFonts w:ascii="Gill Sans MT" w:eastAsia="Calibri" w:hAnsi="Gill Sans MT" w:cs="Times New Roman"/>
          <w:b/>
          <w:bCs/>
        </w:rPr>
        <w:t xml:space="preserve">: Contribuição para o Crescimento da Despesa </w:t>
      </w:r>
    </w:p>
    <w:p w14:paraId="46CCE284" w14:textId="2BFD40D1" w:rsidR="00546AB6" w:rsidRPr="00517C85" w:rsidRDefault="00B533CD" w:rsidP="00517C85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B533CD">
        <w:rPr>
          <w:noProof/>
          <w:lang w:eastAsia="pt-PT"/>
        </w:rPr>
        <w:drawing>
          <wp:inline distT="0" distB="0" distL="0" distR="0" wp14:anchorId="68CEAAD7" wp14:editId="23DF4DB5">
            <wp:extent cx="4162567" cy="26322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63" cy="26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E81D" w14:textId="690176DA" w:rsidR="00546AB6" w:rsidRDefault="00546AB6" w:rsidP="00517C85">
      <w:pPr>
        <w:spacing w:line="240" w:lineRule="auto"/>
        <w:jc w:val="center"/>
        <w:rPr>
          <w:rFonts w:ascii="Gill Sans MT" w:hAnsi="Gill Sans MT" w:cs="Arial"/>
          <w:bCs/>
          <w:sz w:val="18"/>
          <w:szCs w:val="18"/>
        </w:rPr>
      </w:pPr>
      <w:r w:rsidRPr="00614F3A"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614F3A">
        <w:rPr>
          <w:rFonts w:ascii="Gill Sans MT" w:hAnsi="Gill Sans MT" w:cs="Arial"/>
          <w:bCs/>
          <w:sz w:val="18"/>
          <w:szCs w:val="18"/>
        </w:rPr>
        <w:t>Ministério das Finanças.</w:t>
      </w:r>
    </w:p>
    <w:p w14:paraId="78398AE5" w14:textId="77777777" w:rsidR="00517C85" w:rsidRDefault="00517C85" w:rsidP="00517C85">
      <w:pPr>
        <w:spacing w:line="240" w:lineRule="auto"/>
        <w:jc w:val="center"/>
        <w:rPr>
          <w:rFonts w:ascii="Gill Sans MT" w:hAnsi="Gill Sans MT" w:cs="Arial"/>
          <w:bCs/>
          <w:sz w:val="18"/>
          <w:szCs w:val="18"/>
        </w:rPr>
      </w:pPr>
    </w:p>
    <w:p w14:paraId="3D1AB580" w14:textId="4F1C6079" w:rsidR="00546AB6" w:rsidRPr="00A27BBC" w:rsidRDefault="00BD4816" w:rsidP="00546AB6">
      <w:pPr>
        <w:spacing w:line="360" w:lineRule="auto"/>
        <w:jc w:val="both"/>
        <w:rPr>
          <w:rFonts w:ascii="Gill Sans MT" w:hAnsi="Gill Sans MT" w:cs="Arial"/>
          <w:bCs/>
        </w:rPr>
      </w:pPr>
      <w:r w:rsidRPr="00A27BBC">
        <w:rPr>
          <w:rFonts w:ascii="Gill Sans MT" w:hAnsi="Gill Sans MT" w:cs="Arial"/>
          <w:bCs/>
        </w:rPr>
        <w:t>Até dez</w:t>
      </w:r>
      <w:r w:rsidR="00E65EDA" w:rsidRPr="00A27BBC">
        <w:rPr>
          <w:rFonts w:ascii="Gill Sans MT" w:hAnsi="Gill Sans MT" w:cs="Arial"/>
          <w:bCs/>
        </w:rPr>
        <w:t>embro</w:t>
      </w:r>
      <w:r w:rsidRPr="00A27BBC">
        <w:rPr>
          <w:rFonts w:ascii="Gill Sans MT" w:hAnsi="Gill Sans MT" w:cs="Arial"/>
          <w:bCs/>
        </w:rPr>
        <w:t xml:space="preserve"> de 2020</w:t>
      </w:r>
      <w:r w:rsidR="00546AB6" w:rsidRPr="00A27BBC">
        <w:rPr>
          <w:rFonts w:ascii="Gill Sans MT" w:hAnsi="Gill Sans MT" w:cs="Arial"/>
          <w:bCs/>
        </w:rPr>
        <w:t xml:space="preserve">, os ativos não financeiros líquidos registaram um </w:t>
      </w:r>
      <w:r w:rsidR="00F577BE" w:rsidRPr="00A27BBC">
        <w:rPr>
          <w:rFonts w:ascii="Gill Sans MT" w:hAnsi="Gill Sans MT" w:cs="Arial"/>
          <w:bCs/>
        </w:rPr>
        <w:t>de</w:t>
      </w:r>
      <w:r w:rsidR="00546AB6" w:rsidRPr="00A27BBC">
        <w:rPr>
          <w:rFonts w:ascii="Gill Sans MT" w:hAnsi="Gill Sans MT" w:cs="Arial"/>
          <w:bCs/>
        </w:rPr>
        <w:t xml:space="preserve">créscimo de </w:t>
      </w:r>
      <w:r w:rsidR="00163495" w:rsidRPr="00A27BBC">
        <w:rPr>
          <w:rFonts w:ascii="Gill Sans MT" w:hAnsi="Gill Sans MT" w:cs="Arial"/>
          <w:bCs/>
        </w:rPr>
        <w:t>4</w:t>
      </w:r>
      <w:r w:rsidRPr="00A27BBC">
        <w:rPr>
          <w:rFonts w:ascii="Gill Sans MT" w:hAnsi="Gill Sans MT" w:cs="Arial"/>
          <w:bCs/>
        </w:rPr>
        <w:t>1</w:t>
      </w:r>
      <w:r w:rsidR="00546AB6" w:rsidRPr="00A27BBC">
        <w:rPr>
          <w:rFonts w:ascii="Gill Sans MT" w:hAnsi="Gill Sans MT" w:cs="Arial"/>
          <w:bCs/>
        </w:rPr>
        <w:t>,</w:t>
      </w:r>
      <w:r w:rsidRPr="00A27BBC">
        <w:rPr>
          <w:rFonts w:ascii="Gill Sans MT" w:hAnsi="Gill Sans MT" w:cs="Arial"/>
          <w:bCs/>
        </w:rPr>
        <w:t>1</w:t>
      </w:r>
      <w:r w:rsidR="00546AB6" w:rsidRPr="00A27BBC">
        <w:rPr>
          <w:rFonts w:ascii="Gill Sans MT" w:hAnsi="Gill Sans MT" w:cs="Arial"/>
          <w:bCs/>
        </w:rPr>
        <w:t>%, atingindo</w:t>
      </w:r>
      <w:r w:rsidRPr="00A27BBC">
        <w:rPr>
          <w:rFonts w:ascii="Gill Sans MT" w:hAnsi="Gill Sans MT" w:cs="Arial"/>
          <w:bCs/>
        </w:rPr>
        <w:t xml:space="preserve"> o montante de</w:t>
      </w:r>
      <w:r w:rsidR="00546AB6" w:rsidRPr="00A27BBC">
        <w:rPr>
          <w:rFonts w:ascii="Gill Sans MT" w:hAnsi="Gill Sans MT" w:cs="Arial"/>
          <w:bCs/>
        </w:rPr>
        <w:t xml:space="preserve"> </w:t>
      </w:r>
      <w:r w:rsidRPr="00A27BBC">
        <w:rPr>
          <w:rFonts w:ascii="Gill Sans MT" w:hAnsi="Gill Sans MT" w:cs="Arial"/>
          <w:bCs/>
        </w:rPr>
        <w:t>4.4</w:t>
      </w:r>
      <w:r w:rsidR="005D2CEF" w:rsidRPr="00A27BBC">
        <w:rPr>
          <w:rFonts w:ascii="Gill Sans MT" w:hAnsi="Gill Sans MT" w:cs="Arial"/>
          <w:bCs/>
        </w:rPr>
        <w:t>9</w:t>
      </w:r>
      <w:r w:rsidRPr="00A27BBC">
        <w:rPr>
          <w:rFonts w:ascii="Gill Sans MT" w:hAnsi="Gill Sans MT" w:cs="Arial"/>
          <w:bCs/>
        </w:rPr>
        <w:t>1</w:t>
      </w:r>
      <w:r w:rsidR="005D2CEF" w:rsidRPr="00A27BBC">
        <w:rPr>
          <w:rFonts w:ascii="Gill Sans MT" w:hAnsi="Gill Sans MT" w:cs="Arial"/>
          <w:bCs/>
        </w:rPr>
        <w:t>,</w:t>
      </w:r>
      <w:r w:rsidRPr="00A27BBC">
        <w:rPr>
          <w:rFonts w:ascii="Gill Sans MT" w:hAnsi="Gill Sans MT" w:cs="Arial"/>
          <w:bCs/>
        </w:rPr>
        <w:t>9</w:t>
      </w:r>
      <w:r w:rsidR="00546AB6" w:rsidRPr="00A27BBC">
        <w:rPr>
          <w:rFonts w:ascii="Gill Sans MT" w:hAnsi="Gill Sans MT" w:cs="Arial"/>
          <w:bCs/>
        </w:rPr>
        <w:t xml:space="preserve"> milhões de CVE, resultante, </w:t>
      </w:r>
      <w:r w:rsidR="002F019E" w:rsidRPr="00A27BBC">
        <w:rPr>
          <w:rFonts w:ascii="Gill Sans MT" w:hAnsi="Gill Sans MT" w:cs="Arial"/>
          <w:bCs/>
        </w:rPr>
        <w:t>maioritariamente</w:t>
      </w:r>
      <w:r w:rsidR="00546AB6" w:rsidRPr="00A27BBC">
        <w:rPr>
          <w:rFonts w:ascii="Gill Sans MT" w:hAnsi="Gill Sans MT" w:cs="Arial"/>
          <w:bCs/>
        </w:rPr>
        <w:t xml:space="preserve">, da compra de ativos não financeiros do programa de investimento </w:t>
      </w:r>
      <w:r w:rsidR="00F577BE" w:rsidRPr="00A27BBC">
        <w:rPr>
          <w:rFonts w:ascii="Gill Sans MT" w:hAnsi="Gill Sans MT" w:cs="Arial"/>
          <w:bCs/>
        </w:rPr>
        <w:t>de</w:t>
      </w:r>
      <w:r w:rsidR="00546AB6" w:rsidRPr="00A27BBC">
        <w:rPr>
          <w:rFonts w:ascii="Gill Sans MT" w:hAnsi="Gill Sans MT" w:cs="Arial"/>
          <w:bCs/>
        </w:rPr>
        <w:t xml:space="preserve"> </w:t>
      </w:r>
      <w:r w:rsidRPr="00A27BBC">
        <w:rPr>
          <w:rFonts w:ascii="Gill Sans MT" w:hAnsi="Gill Sans MT" w:cs="Arial"/>
          <w:bCs/>
        </w:rPr>
        <w:t>4</w:t>
      </w:r>
      <w:r w:rsidR="002F019E" w:rsidRPr="00A27BBC">
        <w:rPr>
          <w:rFonts w:ascii="Gill Sans MT" w:hAnsi="Gill Sans MT" w:cs="Arial"/>
          <w:bCs/>
        </w:rPr>
        <w:t>.</w:t>
      </w:r>
      <w:r w:rsidRPr="00A27BBC">
        <w:rPr>
          <w:rFonts w:ascii="Gill Sans MT" w:hAnsi="Gill Sans MT" w:cs="Arial"/>
          <w:bCs/>
        </w:rPr>
        <w:t>147</w:t>
      </w:r>
      <w:r w:rsidR="002F019E" w:rsidRPr="00A27BBC">
        <w:rPr>
          <w:rFonts w:ascii="Gill Sans MT" w:hAnsi="Gill Sans MT" w:cs="Arial"/>
          <w:bCs/>
        </w:rPr>
        <w:t>,</w:t>
      </w:r>
      <w:r w:rsidRPr="00A27BBC">
        <w:rPr>
          <w:rFonts w:ascii="Gill Sans MT" w:hAnsi="Gill Sans MT" w:cs="Arial"/>
          <w:bCs/>
        </w:rPr>
        <w:t>8</w:t>
      </w:r>
      <w:r w:rsidR="00546AB6" w:rsidRPr="00A27BBC">
        <w:rPr>
          <w:rFonts w:ascii="Gill Sans MT" w:hAnsi="Gill Sans MT" w:cs="Arial"/>
          <w:bCs/>
        </w:rPr>
        <w:t xml:space="preserve"> milhões de CVE. </w:t>
      </w:r>
      <w:r w:rsidR="00B06DD7">
        <w:rPr>
          <w:rFonts w:ascii="Gill Sans MT" w:hAnsi="Gill Sans MT" w:cs="Arial"/>
          <w:bCs/>
        </w:rPr>
        <w:t>A baixa performance</w:t>
      </w:r>
      <w:r w:rsidR="00321354">
        <w:rPr>
          <w:rFonts w:ascii="Gill Sans MT" w:hAnsi="Gill Sans MT" w:cs="Arial"/>
          <w:bCs/>
        </w:rPr>
        <w:t xml:space="preserve"> registada reflete sobretudo as interrupções nas atividades não essências verificadas em 2020. </w:t>
      </w:r>
      <w:r w:rsidR="00B06DD7">
        <w:rPr>
          <w:rFonts w:ascii="Gill Sans MT" w:hAnsi="Gill Sans MT" w:cs="Arial"/>
          <w:bCs/>
        </w:rPr>
        <w:t xml:space="preserve"> </w:t>
      </w:r>
      <w:r w:rsidR="00546AB6" w:rsidRPr="00A27BBC">
        <w:rPr>
          <w:rFonts w:ascii="Gill Sans MT" w:hAnsi="Gill Sans MT" w:cs="Arial"/>
          <w:bCs/>
        </w:rPr>
        <w:t>Analisando por modalidade de financiamento</w:t>
      </w:r>
      <w:r w:rsidR="002F019E" w:rsidRPr="00A27BBC">
        <w:rPr>
          <w:rFonts w:ascii="Gill Sans MT" w:hAnsi="Gill Sans MT" w:cs="Arial"/>
          <w:bCs/>
        </w:rPr>
        <w:t xml:space="preserve"> do </w:t>
      </w:r>
      <w:r w:rsidR="00321354">
        <w:rPr>
          <w:rFonts w:ascii="Gill Sans MT" w:hAnsi="Gill Sans MT" w:cs="Arial"/>
          <w:bCs/>
        </w:rPr>
        <w:t>Programa de Investimento Público (</w:t>
      </w:r>
      <w:r w:rsidR="002F019E" w:rsidRPr="00A27BBC">
        <w:rPr>
          <w:rFonts w:ascii="Gill Sans MT" w:hAnsi="Gill Sans MT" w:cs="Arial"/>
          <w:bCs/>
        </w:rPr>
        <w:t>PIP</w:t>
      </w:r>
      <w:r w:rsidR="00321354">
        <w:rPr>
          <w:rFonts w:ascii="Gill Sans MT" w:hAnsi="Gill Sans MT" w:cs="Arial"/>
          <w:bCs/>
        </w:rPr>
        <w:t>)</w:t>
      </w:r>
      <w:r w:rsidR="00546AB6" w:rsidRPr="00A27BBC">
        <w:rPr>
          <w:rFonts w:ascii="Gill Sans MT" w:hAnsi="Gill Sans MT" w:cs="Arial"/>
          <w:bCs/>
        </w:rPr>
        <w:t xml:space="preserve">, </w:t>
      </w:r>
      <w:r w:rsidR="002F019E" w:rsidRPr="00A27BBC">
        <w:rPr>
          <w:rFonts w:ascii="Gill Sans MT" w:hAnsi="Gill Sans MT" w:cs="Arial"/>
          <w:bCs/>
        </w:rPr>
        <w:t>5</w:t>
      </w:r>
      <w:r w:rsidR="004659E8" w:rsidRPr="00A27BBC">
        <w:rPr>
          <w:rFonts w:ascii="Gill Sans MT" w:hAnsi="Gill Sans MT" w:cs="Arial"/>
          <w:bCs/>
        </w:rPr>
        <w:t>6</w:t>
      </w:r>
      <w:r w:rsidR="00546AB6" w:rsidRPr="00A27BBC">
        <w:rPr>
          <w:rFonts w:ascii="Gill Sans MT" w:hAnsi="Gill Sans MT" w:cs="Arial"/>
          <w:bCs/>
        </w:rPr>
        <w:t>,</w:t>
      </w:r>
      <w:r w:rsidR="004659E8" w:rsidRPr="00A27BBC">
        <w:rPr>
          <w:rFonts w:ascii="Gill Sans MT" w:hAnsi="Gill Sans MT" w:cs="Arial"/>
          <w:bCs/>
        </w:rPr>
        <w:t>0</w:t>
      </w:r>
      <w:r w:rsidR="00F577BE" w:rsidRPr="00A27BBC">
        <w:rPr>
          <w:rFonts w:ascii="Gill Sans MT" w:hAnsi="Gill Sans MT" w:cs="Arial"/>
          <w:bCs/>
        </w:rPr>
        <w:t>% foram financiados pelo</w:t>
      </w:r>
      <w:r w:rsidR="00B1189F" w:rsidRPr="00A27BBC">
        <w:rPr>
          <w:rFonts w:ascii="Gill Sans MT" w:hAnsi="Gill Sans MT" w:cs="Arial"/>
          <w:bCs/>
        </w:rPr>
        <w:t xml:space="preserve">s recursos </w:t>
      </w:r>
      <w:r w:rsidR="004659E8" w:rsidRPr="00A27BBC">
        <w:rPr>
          <w:rFonts w:ascii="Gill Sans MT" w:hAnsi="Gill Sans MT" w:cs="Arial"/>
          <w:bCs/>
        </w:rPr>
        <w:t>internos</w:t>
      </w:r>
      <w:r w:rsidR="00F577BE" w:rsidRPr="00A27BBC">
        <w:rPr>
          <w:rFonts w:ascii="Gill Sans MT" w:hAnsi="Gill Sans MT" w:cs="Arial"/>
          <w:bCs/>
        </w:rPr>
        <w:t>,</w:t>
      </w:r>
      <w:r w:rsidR="00546AB6" w:rsidRPr="00A27BBC">
        <w:rPr>
          <w:rFonts w:ascii="Gill Sans MT" w:hAnsi="Gill Sans MT" w:cs="Arial"/>
          <w:bCs/>
        </w:rPr>
        <w:t xml:space="preserve"> </w:t>
      </w:r>
      <w:r w:rsidR="004659E8" w:rsidRPr="00A27BBC">
        <w:rPr>
          <w:rFonts w:ascii="Gill Sans MT" w:hAnsi="Gill Sans MT" w:cs="Arial"/>
          <w:bCs/>
        </w:rPr>
        <w:t>18</w:t>
      </w:r>
      <w:r w:rsidR="00546AB6" w:rsidRPr="00A27BBC">
        <w:rPr>
          <w:rFonts w:ascii="Gill Sans MT" w:hAnsi="Gill Sans MT" w:cs="Arial"/>
          <w:bCs/>
        </w:rPr>
        <w:t>,</w:t>
      </w:r>
      <w:r w:rsidR="004659E8" w:rsidRPr="00A27BBC">
        <w:rPr>
          <w:rFonts w:ascii="Gill Sans MT" w:hAnsi="Gill Sans MT" w:cs="Arial"/>
          <w:bCs/>
        </w:rPr>
        <w:t>8</w:t>
      </w:r>
      <w:r w:rsidR="00546AB6" w:rsidRPr="00A27BBC">
        <w:rPr>
          <w:rFonts w:ascii="Gill Sans MT" w:hAnsi="Gill Sans MT" w:cs="Arial"/>
          <w:bCs/>
        </w:rPr>
        <w:t xml:space="preserve">% </w:t>
      </w:r>
      <w:r w:rsidR="00F577BE" w:rsidRPr="00A27BBC">
        <w:rPr>
          <w:rFonts w:ascii="Gill Sans MT" w:hAnsi="Gill Sans MT" w:cs="Arial"/>
          <w:bCs/>
        </w:rPr>
        <w:t>por empréstimo externo</w:t>
      </w:r>
      <w:r w:rsidR="00546AB6" w:rsidRPr="00A27BBC">
        <w:rPr>
          <w:rFonts w:ascii="Gill Sans MT" w:hAnsi="Gill Sans MT" w:cs="Arial"/>
          <w:bCs/>
        </w:rPr>
        <w:t xml:space="preserve"> e </w:t>
      </w:r>
      <w:r w:rsidR="004659E8" w:rsidRPr="00A27BBC">
        <w:rPr>
          <w:rFonts w:ascii="Gill Sans MT" w:hAnsi="Gill Sans MT" w:cs="Arial"/>
          <w:bCs/>
        </w:rPr>
        <w:t>22</w:t>
      </w:r>
      <w:r w:rsidR="00546AB6" w:rsidRPr="00A27BBC">
        <w:rPr>
          <w:rFonts w:ascii="Gill Sans MT" w:hAnsi="Gill Sans MT" w:cs="Arial"/>
          <w:bCs/>
        </w:rPr>
        <w:t>,</w:t>
      </w:r>
      <w:r w:rsidR="004659E8" w:rsidRPr="00A27BBC">
        <w:rPr>
          <w:rFonts w:ascii="Gill Sans MT" w:hAnsi="Gill Sans MT" w:cs="Arial"/>
          <w:bCs/>
        </w:rPr>
        <w:t>7</w:t>
      </w:r>
      <w:r w:rsidR="00546AB6" w:rsidRPr="00A27BBC">
        <w:rPr>
          <w:rFonts w:ascii="Gill Sans MT" w:hAnsi="Gill Sans MT" w:cs="Arial"/>
          <w:bCs/>
        </w:rPr>
        <w:t>% por donativos.</w:t>
      </w:r>
    </w:p>
    <w:p w14:paraId="70D11F71" w14:textId="15ED0DDD" w:rsidR="00546AB6" w:rsidRPr="00A27BBC" w:rsidRDefault="00546AB6" w:rsidP="00546AB6">
      <w:pPr>
        <w:spacing w:line="360" w:lineRule="auto"/>
        <w:jc w:val="both"/>
        <w:rPr>
          <w:rFonts w:ascii="Gill Sans MT" w:hAnsi="Gill Sans MT" w:cs="Arial"/>
          <w:bCs/>
        </w:rPr>
      </w:pPr>
      <w:r w:rsidRPr="00A27BBC">
        <w:rPr>
          <w:rFonts w:ascii="Gill Sans MT" w:hAnsi="Gill Sans MT" w:cs="Arial"/>
          <w:bCs/>
        </w:rPr>
        <w:t>A n</w:t>
      </w:r>
      <w:r w:rsidR="00646568" w:rsidRPr="00A27BBC">
        <w:rPr>
          <w:rFonts w:ascii="Gill Sans MT" w:hAnsi="Gill Sans MT" w:cs="Arial"/>
          <w:bCs/>
        </w:rPr>
        <w:t>ível das</w:t>
      </w:r>
      <w:r w:rsidR="009E25C5">
        <w:rPr>
          <w:rFonts w:ascii="Gill Sans MT" w:hAnsi="Gill Sans MT" w:cs="Arial"/>
          <w:bCs/>
        </w:rPr>
        <w:t xml:space="preserve"> despesas por</w:t>
      </w:r>
      <w:r w:rsidR="00646568" w:rsidRPr="00A27BBC">
        <w:rPr>
          <w:rFonts w:ascii="Gill Sans MT" w:hAnsi="Gill Sans MT" w:cs="Arial"/>
          <w:bCs/>
        </w:rPr>
        <w:t xml:space="preserve"> funções do Estado, no </w:t>
      </w:r>
      <w:r w:rsidR="00321354">
        <w:rPr>
          <w:rFonts w:ascii="Gill Sans MT" w:hAnsi="Gill Sans MT" w:cs="Arial"/>
          <w:bCs/>
        </w:rPr>
        <w:t>IV</w:t>
      </w:r>
      <w:r w:rsidR="00321354" w:rsidRPr="00A27BBC">
        <w:rPr>
          <w:rFonts w:ascii="Gill Sans MT" w:hAnsi="Gill Sans MT" w:cs="Arial"/>
          <w:bCs/>
        </w:rPr>
        <w:t xml:space="preserve"> </w:t>
      </w:r>
      <w:r w:rsidR="00321354">
        <w:rPr>
          <w:rFonts w:ascii="Gill Sans MT" w:hAnsi="Gill Sans MT" w:cs="Arial"/>
          <w:bCs/>
        </w:rPr>
        <w:t>T</w:t>
      </w:r>
      <w:r w:rsidR="00321354" w:rsidRPr="00A27BBC">
        <w:rPr>
          <w:rFonts w:ascii="Gill Sans MT" w:hAnsi="Gill Sans MT" w:cs="Arial"/>
          <w:bCs/>
        </w:rPr>
        <w:t xml:space="preserve">rimestre </w:t>
      </w:r>
      <w:r w:rsidRPr="00A27BBC">
        <w:rPr>
          <w:rFonts w:ascii="Gill Sans MT" w:hAnsi="Gill Sans MT" w:cs="Arial"/>
          <w:bCs/>
        </w:rPr>
        <w:t>de 20</w:t>
      </w:r>
      <w:r w:rsidR="00646568" w:rsidRPr="00A27BBC">
        <w:rPr>
          <w:rFonts w:ascii="Gill Sans MT" w:hAnsi="Gill Sans MT" w:cs="Arial"/>
          <w:bCs/>
        </w:rPr>
        <w:t>20</w:t>
      </w:r>
      <w:r w:rsidRPr="00A27BBC">
        <w:rPr>
          <w:rFonts w:ascii="Gill Sans MT" w:hAnsi="Gill Sans MT" w:cs="Arial"/>
          <w:bCs/>
        </w:rPr>
        <w:t xml:space="preserve">, constata-se que, </w:t>
      </w:r>
      <w:r w:rsidR="005F64D3">
        <w:rPr>
          <w:rFonts w:ascii="Gill Sans MT" w:hAnsi="Gill Sans MT" w:cs="Arial"/>
          <w:bCs/>
        </w:rPr>
        <w:t>as que</w:t>
      </w:r>
      <w:r w:rsidR="005F64D3" w:rsidRPr="00A27BBC">
        <w:rPr>
          <w:rFonts w:ascii="Gill Sans MT" w:hAnsi="Gill Sans MT" w:cs="Arial"/>
          <w:bCs/>
        </w:rPr>
        <w:t xml:space="preserve"> </w:t>
      </w:r>
      <w:r w:rsidR="000B688D" w:rsidRPr="00A27BBC">
        <w:rPr>
          <w:rFonts w:ascii="Gill Sans MT" w:hAnsi="Gill Sans MT" w:cs="Arial"/>
          <w:bCs/>
        </w:rPr>
        <w:t xml:space="preserve">mais </w:t>
      </w:r>
      <w:r w:rsidR="005F64D3" w:rsidRPr="00A27BBC">
        <w:rPr>
          <w:rFonts w:ascii="Gill Sans MT" w:hAnsi="Gill Sans MT" w:cs="Arial"/>
          <w:bCs/>
        </w:rPr>
        <w:t>contribuí</w:t>
      </w:r>
      <w:r w:rsidR="005F64D3">
        <w:rPr>
          <w:rFonts w:ascii="Gill Sans MT" w:hAnsi="Gill Sans MT" w:cs="Arial"/>
          <w:bCs/>
        </w:rPr>
        <w:t>ram</w:t>
      </w:r>
      <w:r w:rsidRPr="00A27BBC">
        <w:rPr>
          <w:rFonts w:ascii="Gill Sans MT" w:hAnsi="Gill Sans MT" w:cs="Arial"/>
          <w:bCs/>
        </w:rPr>
        <w:t xml:space="preserve"> para o crescimento da</w:t>
      </w:r>
      <w:r w:rsidR="000B688D" w:rsidRPr="00A27BBC">
        <w:rPr>
          <w:rFonts w:ascii="Gill Sans MT" w:hAnsi="Gill Sans MT" w:cs="Arial"/>
          <w:bCs/>
        </w:rPr>
        <w:t>s</w:t>
      </w:r>
      <w:r w:rsidRPr="00A27BBC">
        <w:rPr>
          <w:rFonts w:ascii="Gill Sans MT" w:hAnsi="Gill Sans MT" w:cs="Arial"/>
          <w:bCs/>
        </w:rPr>
        <w:t xml:space="preserve"> despesa</w:t>
      </w:r>
      <w:r w:rsidR="000B688D" w:rsidRPr="00A27BBC">
        <w:rPr>
          <w:rFonts w:ascii="Gill Sans MT" w:hAnsi="Gill Sans MT" w:cs="Arial"/>
          <w:bCs/>
        </w:rPr>
        <w:t>s</w:t>
      </w:r>
      <w:r w:rsidRPr="00A27BBC">
        <w:rPr>
          <w:rFonts w:ascii="Gill Sans MT" w:hAnsi="Gill Sans MT" w:cs="Arial"/>
          <w:bCs/>
        </w:rPr>
        <w:t xml:space="preserve"> são as de “</w:t>
      </w:r>
      <w:r w:rsidR="00646568" w:rsidRPr="00A27BBC">
        <w:rPr>
          <w:rFonts w:ascii="Gill Sans MT" w:hAnsi="Gill Sans MT" w:cs="Arial"/>
          <w:bCs/>
        </w:rPr>
        <w:t xml:space="preserve">Segurança </w:t>
      </w:r>
      <w:r w:rsidR="00A3578F" w:rsidRPr="00A27BBC">
        <w:rPr>
          <w:rFonts w:ascii="Gill Sans MT" w:hAnsi="Gill Sans MT" w:cs="Arial"/>
          <w:bCs/>
        </w:rPr>
        <w:t xml:space="preserve">e Ordem </w:t>
      </w:r>
      <w:r w:rsidR="00646568" w:rsidRPr="00A27BBC">
        <w:rPr>
          <w:rFonts w:ascii="Gill Sans MT" w:hAnsi="Gill Sans MT" w:cs="Arial"/>
          <w:bCs/>
        </w:rPr>
        <w:t>Pública</w:t>
      </w:r>
      <w:r w:rsidRPr="00A27BBC">
        <w:rPr>
          <w:rFonts w:ascii="Gill Sans MT" w:hAnsi="Gill Sans MT" w:cs="Arial"/>
          <w:bCs/>
        </w:rPr>
        <w:t xml:space="preserve">”, </w:t>
      </w:r>
      <w:r w:rsidR="00886EEF" w:rsidRPr="00A27BBC">
        <w:rPr>
          <w:rFonts w:ascii="Gill Sans MT" w:hAnsi="Gill Sans MT" w:cs="Arial"/>
          <w:bCs/>
        </w:rPr>
        <w:t xml:space="preserve">“da “Saúde” </w:t>
      </w:r>
      <w:r w:rsidR="000B688D" w:rsidRPr="00A27BBC">
        <w:rPr>
          <w:rFonts w:ascii="Gill Sans MT" w:hAnsi="Gill Sans MT" w:cs="Arial"/>
          <w:bCs/>
        </w:rPr>
        <w:t>da “</w:t>
      </w:r>
      <w:r w:rsidR="00A3578F" w:rsidRPr="00A27BBC">
        <w:rPr>
          <w:rFonts w:ascii="Gill Sans MT" w:hAnsi="Gill Sans MT" w:cs="Arial"/>
          <w:bCs/>
        </w:rPr>
        <w:t>Proteção Social</w:t>
      </w:r>
      <w:r w:rsidR="00886EEF" w:rsidRPr="00A27BBC">
        <w:rPr>
          <w:rFonts w:ascii="Gill Sans MT" w:hAnsi="Gill Sans MT" w:cs="Arial"/>
          <w:bCs/>
        </w:rPr>
        <w:t>”</w:t>
      </w:r>
      <w:r w:rsidR="001C123F">
        <w:rPr>
          <w:rFonts w:ascii="Gill Sans MT" w:hAnsi="Gill Sans MT" w:cs="Arial"/>
          <w:bCs/>
        </w:rPr>
        <w:t xml:space="preserve"> e</w:t>
      </w:r>
      <w:r w:rsidR="005F64D3">
        <w:rPr>
          <w:rFonts w:ascii="Gill Sans MT" w:hAnsi="Gill Sans MT" w:cs="Arial"/>
          <w:bCs/>
        </w:rPr>
        <w:t xml:space="preserve"> dos</w:t>
      </w:r>
      <w:r w:rsidR="001C123F">
        <w:rPr>
          <w:rFonts w:ascii="Gill Sans MT" w:hAnsi="Gill Sans MT" w:cs="Arial"/>
          <w:bCs/>
        </w:rPr>
        <w:t xml:space="preserve"> “Assuntos Económicos”</w:t>
      </w:r>
      <w:r w:rsidR="00A3578F" w:rsidRPr="00A27BBC">
        <w:rPr>
          <w:rFonts w:ascii="Gill Sans MT" w:hAnsi="Gill Sans MT" w:cs="Arial"/>
          <w:bCs/>
        </w:rPr>
        <w:t>, portanto</w:t>
      </w:r>
      <w:r w:rsidR="00372AD4" w:rsidRPr="00A27BBC">
        <w:rPr>
          <w:rFonts w:ascii="Gill Sans MT" w:hAnsi="Gill Sans MT" w:cs="Arial"/>
          <w:bCs/>
        </w:rPr>
        <w:t xml:space="preserve"> despesas relevantes no combate à pandemia</w:t>
      </w:r>
      <w:r w:rsidR="00A27BBC" w:rsidRPr="00A27BBC">
        <w:rPr>
          <w:rFonts w:ascii="Gill Sans MT" w:hAnsi="Gill Sans MT" w:cs="Arial"/>
          <w:bCs/>
        </w:rPr>
        <w:t xml:space="preserve"> do Covid-19</w:t>
      </w:r>
      <w:r w:rsidR="00321354">
        <w:rPr>
          <w:rFonts w:ascii="Gill Sans MT" w:hAnsi="Gill Sans MT" w:cs="Arial"/>
          <w:bCs/>
        </w:rPr>
        <w:t>, condições necessárias para a retoma económica</w:t>
      </w:r>
      <w:r w:rsidRPr="00A27BBC">
        <w:rPr>
          <w:rFonts w:ascii="Gill Sans MT" w:hAnsi="Gill Sans MT" w:cs="Arial"/>
          <w:bCs/>
        </w:rPr>
        <w:t>.</w:t>
      </w:r>
    </w:p>
    <w:p w14:paraId="7ECFA16E" w14:textId="6BD56607" w:rsidR="00546AB6" w:rsidRDefault="00546AB6" w:rsidP="00397D92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 xml:space="preserve">Tabela </w:t>
      </w:r>
      <w:r w:rsidR="007D68E6">
        <w:rPr>
          <w:rFonts w:ascii="Gill Sans MT" w:eastAsia="Calibri" w:hAnsi="Gill Sans MT" w:cs="Times New Roman"/>
          <w:b/>
          <w:bCs/>
        </w:rPr>
        <w:t>3</w:t>
      </w:r>
      <w:r>
        <w:rPr>
          <w:rFonts w:ascii="Gill Sans MT" w:eastAsia="Calibri" w:hAnsi="Gill Sans MT" w:cs="Times New Roman"/>
          <w:b/>
          <w:bCs/>
        </w:rPr>
        <w:t xml:space="preserve"> – Evolução das</w:t>
      </w:r>
      <w:r w:rsidR="009E25C5">
        <w:rPr>
          <w:rFonts w:ascii="Gill Sans MT" w:eastAsia="Calibri" w:hAnsi="Gill Sans MT" w:cs="Times New Roman"/>
          <w:b/>
          <w:bCs/>
        </w:rPr>
        <w:t xml:space="preserve"> Despesas por</w:t>
      </w:r>
      <w:r>
        <w:rPr>
          <w:rFonts w:ascii="Gill Sans MT" w:eastAsia="Calibri" w:hAnsi="Gill Sans MT" w:cs="Times New Roman"/>
          <w:b/>
          <w:bCs/>
        </w:rPr>
        <w:t xml:space="preserve"> Funções do Estado</w:t>
      </w:r>
    </w:p>
    <w:p w14:paraId="472B5019" w14:textId="77777777" w:rsidR="000257BE" w:rsidRPr="000257BE" w:rsidRDefault="000257BE" w:rsidP="00397D92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7E70EFCB" w14:textId="12FF30DB" w:rsidR="00546AB6" w:rsidRDefault="00B21F30" w:rsidP="00397D92">
      <w:pPr>
        <w:spacing w:line="240" w:lineRule="auto"/>
        <w:jc w:val="center"/>
        <w:rPr>
          <w:rFonts w:ascii="Gill Sans MT" w:hAnsi="Gill Sans MT" w:cs="Arial"/>
          <w:bCs/>
        </w:rPr>
      </w:pPr>
      <w:r w:rsidRPr="00B21F30">
        <w:rPr>
          <w:noProof/>
          <w:lang w:eastAsia="pt-PT"/>
        </w:rPr>
        <w:drawing>
          <wp:inline distT="0" distB="0" distL="0" distR="0" wp14:anchorId="7CF469ED" wp14:editId="23BA9E6B">
            <wp:extent cx="5210653" cy="1996226"/>
            <wp:effectExtent l="0" t="0" r="0" b="444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82" cy="20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013F" w14:textId="66E65D78" w:rsidR="00DF4872" w:rsidRDefault="00DF4872" w:rsidP="00397D92">
      <w:pPr>
        <w:spacing w:line="240" w:lineRule="auto"/>
        <w:jc w:val="center"/>
        <w:rPr>
          <w:rFonts w:ascii="Gill Sans MT" w:hAnsi="Gill Sans MT" w:cs="Arial"/>
          <w:bCs/>
          <w:sz w:val="18"/>
          <w:szCs w:val="18"/>
        </w:rPr>
      </w:pPr>
      <w:r w:rsidRPr="00614F3A"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614F3A">
        <w:rPr>
          <w:rFonts w:ascii="Gill Sans MT" w:hAnsi="Gill Sans MT" w:cs="Arial"/>
          <w:bCs/>
          <w:sz w:val="18"/>
          <w:szCs w:val="18"/>
        </w:rPr>
        <w:t>Ministério das Finanças.</w:t>
      </w:r>
    </w:p>
    <w:p w14:paraId="2E9CB9EF" w14:textId="77777777" w:rsidR="00AE0504" w:rsidRDefault="00AE0504" w:rsidP="00646568">
      <w:pPr>
        <w:spacing w:line="240" w:lineRule="auto"/>
        <w:jc w:val="center"/>
        <w:rPr>
          <w:rFonts w:ascii="Gill Sans MT" w:hAnsi="Gill Sans MT" w:cs="Arial"/>
          <w:bCs/>
          <w:sz w:val="18"/>
          <w:szCs w:val="18"/>
        </w:rPr>
      </w:pPr>
    </w:p>
    <w:p w14:paraId="60253BB4" w14:textId="15C2311E" w:rsidR="00646568" w:rsidRPr="00E55B52" w:rsidRDefault="00CC47DC" w:rsidP="00546AB6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  <w:r w:rsidRPr="007C77AB">
        <w:rPr>
          <w:rFonts w:ascii="Gill Sans MT" w:hAnsi="Gill Sans MT" w:cs="Arial"/>
          <w:bCs/>
        </w:rPr>
        <w:lastRenderedPageBreak/>
        <w:t>O</w:t>
      </w:r>
      <w:r w:rsidR="006605E5" w:rsidRPr="007C77AB">
        <w:rPr>
          <w:rFonts w:ascii="Gill Sans MT" w:hAnsi="Gill Sans MT" w:cs="Arial"/>
          <w:bCs/>
        </w:rPr>
        <w:t xml:space="preserve"> financiamento do deficit </w:t>
      </w:r>
      <w:r w:rsidR="000C3716" w:rsidRPr="007C77AB">
        <w:rPr>
          <w:rFonts w:ascii="Gill Sans MT" w:hAnsi="Gill Sans MT" w:cs="Arial"/>
          <w:bCs/>
        </w:rPr>
        <w:t>atingiu o montante de</w:t>
      </w:r>
      <w:r w:rsidR="006605E5" w:rsidRPr="007C77AB">
        <w:rPr>
          <w:rFonts w:ascii="Gill Sans MT" w:hAnsi="Gill Sans MT" w:cs="Arial"/>
          <w:bCs/>
        </w:rPr>
        <w:t xml:space="preserve"> </w:t>
      </w:r>
      <w:r w:rsidR="00BB015E" w:rsidRPr="007C77AB">
        <w:rPr>
          <w:rFonts w:ascii="Gill Sans MT" w:hAnsi="Gill Sans MT" w:cs="Arial"/>
          <w:bCs/>
        </w:rPr>
        <w:t>1</w:t>
      </w:r>
      <w:r w:rsidR="00B221BD">
        <w:rPr>
          <w:rFonts w:ascii="Gill Sans MT" w:hAnsi="Gill Sans MT" w:cs="Arial"/>
          <w:bCs/>
        </w:rPr>
        <w:t>4</w:t>
      </w:r>
      <w:r w:rsidR="009B6281" w:rsidRPr="007C77AB">
        <w:rPr>
          <w:rFonts w:ascii="Gill Sans MT" w:hAnsi="Gill Sans MT" w:cs="Arial"/>
          <w:bCs/>
        </w:rPr>
        <w:t>.</w:t>
      </w:r>
      <w:r w:rsidR="00B221BD">
        <w:rPr>
          <w:rFonts w:ascii="Gill Sans MT" w:hAnsi="Gill Sans MT" w:cs="Arial"/>
          <w:bCs/>
        </w:rPr>
        <w:t>043</w:t>
      </w:r>
      <w:r w:rsidR="000F14BB" w:rsidRPr="007C77AB">
        <w:rPr>
          <w:rFonts w:ascii="Gill Sans MT" w:hAnsi="Gill Sans MT" w:cs="Arial"/>
          <w:bCs/>
        </w:rPr>
        <w:t>,</w:t>
      </w:r>
      <w:r w:rsidR="00B221BD">
        <w:rPr>
          <w:rFonts w:ascii="Gill Sans MT" w:hAnsi="Gill Sans MT" w:cs="Arial"/>
          <w:bCs/>
        </w:rPr>
        <w:t>3</w:t>
      </w:r>
      <w:r w:rsidR="00F0421E" w:rsidRPr="007C77AB">
        <w:rPr>
          <w:rFonts w:ascii="Gill Sans MT" w:hAnsi="Gill Sans MT" w:cs="Arial"/>
          <w:bCs/>
        </w:rPr>
        <w:t xml:space="preserve"> milhões de CVE</w:t>
      </w:r>
      <w:r w:rsidR="00E15DD5">
        <w:rPr>
          <w:rFonts w:ascii="Gill Sans MT" w:hAnsi="Gill Sans MT" w:cs="Arial"/>
          <w:bCs/>
        </w:rPr>
        <w:t>,</w:t>
      </w:r>
      <w:r w:rsidR="00F0421E" w:rsidRPr="007C77AB">
        <w:rPr>
          <w:rFonts w:ascii="Gill Sans MT" w:hAnsi="Gill Sans MT" w:cs="Arial"/>
          <w:bCs/>
        </w:rPr>
        <w:t xml:space="preserve"> </w:t>
      </w:r>
      <w:r w:rsidR="00BB015E" w:rsidRPr="007C77AB">
        <w:rPr>
          <w:rFonts w:ascii="Gill Sans MT" w:hAnsi="Gill Sans MT" w:cs="Arial"/>
          <w:bCs/>
        </w:rPr>
        <w:t>resultante,</w:t>
      </w:r>
      <w:r w:rsidR="00F0421E" w:rsidRPr="007C77AB">
        <w:rPr>
          <w:rFonts w:ascii="Gill Sans MT" w:hAnsi="Gill Sans MT" w:cs="Arial"/>
          <w:bCs/>
        </w:rPr>
        <w:t xml:space="preserve"> de um lado, </w:t>
      </w:r>
      <w:r w:rsidR="000C3716" w:rsidRPr="007C77AB">
        <w:rPr>
          <w:rFonts w:ascii="Gill Sans MT" w:hAnsi="Gill Sans MT" w:cs="Arial"/>
          <w:bCs/>
        </w:rPr>
        <w:t>da</w:t>
      </w:r>
      <w:r w:rsidR="000F14BB" w:rsidRPr="007C77AB">
        <w:rPr>
          <w:rFonts w:ascii="Gill Sans MT" w:hAnsi="Gill Sans MT" w:cs="Arial"/>
          <w:bCs/>
        </w:rPr>
        <w:t xml:space="preserve"> </w:t>
      </w:r>
      <w:r w:rsidR="00F0421E" w:rsidRPr="007C77AB">
        <w:rPr>
          <w:rFonts w:ascii="Gill Sans MT" w:hAnsi="Gill Sans MT" w:cs="Arial"/>
          <w:bCs/>
        </w:rPr>
        <w:t>performance</w:t>
      </w:r>
      <w:r w:rsidR="000F14BB" w:rsidRPr="007C77AB">
        <w:rPr>
          <w:rFonts w:ascii="Gill Sans MT" w:hAnsi="Gill Sans MT" w:cs="Arial"/>
          <w:bCs/>
        </w:rPr>
        <w:t xml:space="preserve"> do ativo financeiro (-1</w:t>
      </w:r>
      <w:r w:rsidR="00566D46" w:rsidRPr="007C77AB">
        <w:rPr>
          <w:rFonts w:ascii="Gill Sans MT" w:hAnsi="Gill Sans MT" w:cs="Arial"/>
          <w:bCs/>
        </w:rPr>
        <w:t>.</w:t>
      </w:r>
      <w:r w:rsidR="00BB015E" w:rsidRPr="007C77AB">
        <w:rPr>
          <w:rFonts w:ascii="Gill Sans MT" w:hAnsi="Gill Sans MT" w:cs="Arial"/>
          <w:bCs/>
        </w:rPr>
        <w:t>832</w:t>
      </w:r>
      <w:r w:rsidR="000F14BB" w:rsidRPr="007C77AB">
        <w:rPr>
          <w:rFonts w:ascii="Gill Sans MT" w:hAnsi="Gill Sans MT" w:cs="Arial"/>
          <w:bCs/>
        </w:rPr>
        <w:t>,</w:t>
      </w:r>
      <w:r w:rsidR="00BB015E" w:rsidRPr="007C77AB">
        <w:rPr>
          <w:rFonts w:ascii="Gill Sans MT" w:hAnsi="Gill Sans MT" w:cs="Arial"/>
          <w:bCs/>
        </w:rPr>
        <w:t>2</w:t>
      </w:r>
      <w:r w:rsidR="000F14BB" w:rsidRPr="007C77AB">
        <w:rPr>
          <w:rFonts w:ascii="Gill Sans MT" w:hAnsi="Gill Sans MT" w:cs="Arial"/>
          <w:bCs/>
        </w:rPr>
        <w:t xml:space="preserve"> milhões de CVE), associado a investimentos</w:t>
      </w:r>
      <w:r w:rsidR="00BB015E" w:rsidRPr="007C77AB">
        <w:rPr>
          <w:rFonts w:ascii="Gill Sans MT" w:hAnsi="Gill Sans MT" w:cs="Arial"/>
          <w:bCs/>
        </w:rPr>
        <w:t xml:space="preserve"> realizados</w:t>
      </w:r>
      <w:r w:rsidR="000F14BB" w:rsidRPr="007C77AB">
        <w:rPr>
          <w:rFonts w:ascii="Gill Sans MT" w:hAnsi="Gill Sans MT" w:cs="Arial"/>
          <w:bCs/>
        </w:rPr>
        <w:t xml:space="preserve"> em “Ações e Outras participações”, </w:t>
      </w:r>
      <w:r w:rsidR="00E15DD5">
        <w:rPr>
          <w:rFonts w:ascii="Gill Sans MT" w:hAnsi="Gill Sans MT" w:cs="Arial"/>
          <w:bCs/>
        </w:rPr>
        <w:t>n</w:t>
      </w:r>
      <w:r w:rsidR="00E15DD5" w:rsidRPr="007C77AB">
        <w:rPr>
          <w:rFonts w:ascii="Gill Sans MT" w:hAnsi="Gill Sans MT" w:cs="Arial"/>
          <w:bCs/>
        </w:rPr>
        <w:t xml:space="preserve">as </w:t>
      </w:r>
      <w:r w:rsidR="000F14BB" w:rsidRPr="007C77AB">
        <w:rPr>
          <w:rFonts w:ascii="Gill Sans MT" w:hAnsi="Gill Sans MT" w:cs="Arial"/>
          <w:bCs/>
        </w:rPr>
        <w:t xml:space="preserve">concessões </w:t>
      </w:r>
      <w:r w:rsidR="00E15DD5">
        <w:rPr>
          <w:rFonts w:ascii="Gill Sans MT" w:hAnsi="Gill Sans MT" w:cs="Arial"/>
          <w:bCs/>
        </w:rPr>
        <w:t>e</w:t>
      </w:r>
      <w:r w:rsidR="000F14BB" w:rsidRPr="007C77AB">
        <w:rPr>
          <w:rFonts w:ascii="Gill Sans MT" w:hAnsi="Gill Sans MT" w:cs="Arial"/>
          <w:bCs/>
        </w:rPr>
        <w:t xml:space="preserve"> amortizações de empréstimos, e de outro, do passivo financeiro (</w:t>
      </w:r>
      <w:r w:rsidR="000C3716" w:rsidRPr="007C77AB">
        <w:rPr>
          <w:rFonts w:ascii="Gill Sans MT" w:hAnsi="Gill Sans MT" w:cs="Arial"/>
          <w:bCs/>
        </w:rPr>
        <w:t>1</w:t>
      </w:r>
      <w:r w:rsidR="00D23C4C">
        <w:rPr>
          <w:rFonts w:ascii="Gill Sans MT" w:hAnsi="Gill Sans MT" w:cs="Arial"/>
          <w:bCs/>
        </w:rPr>
        <w:t>5</w:t>
      </w:r>
      <w:r w:rsidR="009B6281" w:rsidRPr="007C77AB">
        <w:rPr>
          <w:rFonts w:ascii="Gill Sans MT" w:hAnsi="Gill Sans MT" w:cs="Arial"/>
          <w:bCs/>
        </w:rPr>
        <w:t>.</w:t>
      </w:r>
      <w:r w:rsidR="00D23C4C">
        <w:rPr>
          <w:rFonts w:ascii="Gill Sans MT" w:hAnsi="Gill Sans MT" w:cs="Arial"/>
          <w:bCs/>
        </w:rPr>
        <w:t>878</w:t>
      </w:r>
      <w:r w:rsidR="000F14BB" w:rsidRPr="007C77AB">
        <w:rPr>
          <w:rFonts w:ascii="Gill Sans MT" w:hAnsi="Gill Sans MT" w:cs="Arial"/>
          <w:bCs/>
        </w:rPr>
        <w:t>,</w:t>
      </w:r>
      <w:r w:rsidR="00D23C4C">
        <w:rPr>
          <w:rFonts w:ascii="Gill Sans MT" w:hAnsi="Gill Sans MT" w:cs="Arial"/>
          <w:bCs/>
        </w:rPr>
        <w:t>5</w:t>
      </w:r>
      <w:r w:rsidR="000F14BB" w:rsidRPr="007C77AB">
        <w:rPr>
          <w:rFonts w:ascii="Gill Sans MT" w:hAnsi="Gill Sans MT" w:cs="Arial"/>
          <w:bCs/>
        </w:rPr>
        <w:t xml:space="preserve"> milhões de CVE), </w:t>
      </w:r>
      <w:r w:rsidR="00E15DD5">
        <w:rPr>
          <w:rFonts w:ascii="Gill Sans MT" w:hAnsi="Gill Sans MT" w:cs="Arial"/>
          <w:bCs/>
        </w:rPr>
        <w:t>nomeadamente</w:t>
      </w:r>
      <w:r w:rsidR="00E15DD5" w:rsidRPr="007C77AB">
        <w:rPr>
          <w:rFonts w:ascii="Gill Sans MT" w:hAnsi="Gill Sans MT" w:cs="Arial"/>
          <w:bCs/>
        </w:rPr>
        <w:t xml:space="preserve"> </w:t>
      </w:r>
      <w:r w:rsidR="00BA6F23" w:rsidRPr="007C77AB">
        <w:rPr>
          <w:rFonts w:ascii="Gill Sans MT" w:hAnsi="Gill Sans MT" w:cs="Arial"/>
          <w:bCs/>
        </w:rPr>
        <w:t>da</w:t>
      </w:r>
      <w:r w:rsidR="000F14BB" w:rsidRPr="007C77AB">
        <w:rPr>
          <w:rFonts w:ascii="Gill Sans MT" w:hAnsi="Gill Sans MT" w:cs="Arial"/>
          <w:bCs/>
        </w:rPr>
        <w:t xml:space="preserve"> evolução da componente interna e externa. A componente externa resultou da conjugação dos desembolsos </w:t>
      </w:r>
      <w:r w:rsidR="00321354">
        <w:rPr>
          <w:rFonts w:ascii="Gill Sans MT" w:hAnsi="Gill Sans MT" w:cs="Arial"/>
          <w:bCs/>
        </w:rPr>
        <w:t>em cerca de</w:t>
      </w:r>
      <w:r w:rsidR="00BA6F23" w:rsidRPr="007C77AB">
        <w:rPr>
          <w:rFonts w:ascii="Gill Sans MT" w:hAnsi="Gill Sans MT" w:cs="Arial"/>
          <w:bCs/>
        </w:rPr>
        <w:t>14.526</w:t>
      </w:r>
      <w:r w:rsidR="009B6281" w:rsidRPr="007C77AB">
        <w:rPr>
          <w:rFonts w:ascii="Gill Sans MT" w:hAnsi="Gill Sans MT" w:cs="Arial"/>
          <w:bCs/>
        </w:rPr>
        <w:t>,</w:t>
      </w:r>
      <w:r w:rsidR="00BA6F23" w:rsidRPr="007C77AB">
        <w:rPr>
          <w:rFonts w:ascii="Gill Sans MT" w:hAnsi="Gill Sans MT" w:cs="Arial"/>
          <w:bCs/>
        </w:rPr>
        <w:t>5</w:t>
      </w:r>
      <w:r w:rsidR="000F14BB" w:rsidRPr="007C77AB">
        <w:rPr>
          <w:rFonts w:ascii="Gill Sans MT" w:hAnsi="Gill Sans MT" w:cs="Arial"/>
          <w:bCs/>
        </w:rPr>
        <w:t xml:space="preserve"> milhões de CVE</w:t>
      </w:r>
      <w:r w:rsidR="00321354">
        <w:rPr>
          <w:rFonts w:ascii="Gill Sans MT" w:hAnsi="Gill Sans MT" w:cs="Arial"/>
          <w:bCs/>
        </w:rPr>
        <w:t xml:space="preserve">, </w:t>
      </w:r>
      <w:r w:rsidR="007253A1">
        <w:rPr>
          <w:rFonts w:ascii="Gill Sans MT" w:hAnsi="Gill Sans MT" w:cs="Arial"/>
          <w:bCs/>
        </w:rPr>
        <w:t>sendo a maioria ajuda orçamental empréstimos para fazer face a forte queda nas receitas</w:t>
      </w:r>
      <w:r w:rsidR="00321354" w:rsidRPr="007C77AB">
        <w:rPr>
          <w:rFonts w:ascii="Gill Sans MT" w:hAnsi="Gill Sans MT" w:cs="Arial"/>
          <w:bCs/>
        </w:rPr>
        <w:t xml:space="preserve"> </w:t>
      </w:r>
      <w:r w:rsidR="00E8260C" w:rsidRPr="007C77AB">
        <w:rPr>
          <w:rFonts w:ascii="Gill Sans MT" w:hAnsi="Gill Sans MT" w:cs="Arial"/>
          <w:bCs/>
        </w:rPr>
        <w:t xml:space="preserve">e das amortizações </w:t>
      </w:r>
      <w:r w:rsidR="007253A1">
        <w:rPr>
          <w:rFonts w:ascii="Gill Sans MT" w:hAnsi="Gill Sans MT" w:cs="Arial"/>
          <w:bCs/>
        </w:rPr>
        <w:t xml:space="preserve">da dívida externa </w:t>
      </w:r>
      <w:r w:rsidR="00E8260C" w:rsidRPr="007C77AB">
        <w:rPr>
          <w:rFonts w:ascii="Gill Sans MT" w:hAnsi="Gill Sans MT" w:cs="Arial"/>
          <w:bCs/>
        </w:rPr>
        <w:t xml:space="preserve">programadas </w:t>
      </w:r>
      <w:r w:rsidR="007253A1">
        <w:rPr>
          <w:rFonts w:ascii="Gill Sans MT" w:hAnsi="Gill Sans MT" w:cs="Arial"/>
          <w:bCs/>
        </w:rPr>
        <w:t xml:space="preserve">em </w:t>
      </w:r>
      <w:r w:rsidR="00E8260C" w:rsidRPr="007C77AB">
        <w:rPr>
          <w:rFonts w:ascii="Gill Sans MT" w:hAnsi="Gill Sans MT" w:cs="Arial"/>
          <w:bCs/>
        </w:rPr>
        <w:t>-</w:t>
      </w:r>
      <w:r w:rsidR="0018496D" w:rsidRPr="007C77AB">
        <w:rPr>
          <w:rFonts w:ascii="Gill Sans MT" w:hAnsi="Gill Sans MT" w:cs="Arial"/>
          <w:bCs/>
        </w:rPr>
        <w:t>4.128</w:t>
      </w:r>
      <w:r w:rsidR="00E8260C" w:rsidRPr="007C77AB">
        <w:rPr>
          <w:rFonts w:ascii="Gill Sans MT" w:hAnsi="Gill Sans MT" w:cs="Arial"/>
          <w:bCs/>
        </w:rPr>
        <w:t>,</w:t>
      </w:r>
      <w:r w:rsidR="0018496D" w:rsidRPr="007C77AB">
        <w:rPr>
          <w:rFonts w:ascii="Gill Sans MT" w:hAnsi="Gill Sans MT" w:cs="Arial"/>
          <w:bCs/>
        </w:rPr>
        <w:t>8</w:t>
      </w:r>
      <w:r w:rsidR="00E8260C" w:rsidRPr="007C77AB">
        <w:rPr>
          <w:rFonts w:ascii="Gill Sans MT" w:hAnsi="Gill Sans MT" w:cs="Arial"/>
          <w:bCs/>
        </w:rPr>
        <w:t xml:space="preserve"> milhões de CVE.</w:t>
      </w:r>
      <w:r w:rsidR="000F14BB" w:rsidRPr="007C77AB">
        <w:rPr>
          <w:rFonts w:ascii="Gill Sans MT" w:hAnsi="Gill Sans MT" w:cs="Arial"/>
          <w:bCs/>
        </w:rPr>
        <w:t xml:space="preserve"> </w:t>
      </w:r>
    </w:p>
    <w:p w14:paraId="4DAC423F" w14:textId="4B4E677B" w:rsidR="00546AB6" w:rsidRPr="003D70A0" w:rsidRDefault="00546AB6" w:rsidP="00546AB6">
      <w:pPr>
        <w:spacing w:line="360" w:lineRule="auto"/>
        <w:jc w:val="both"/>
        <w:rPr>
          <w:rFonts w:ascii="Gill Sans MT" w:hAnsi="Gill Sans MT" w:cs="Arial"/>
          <w:bCs/>
        </w:rPr>
      </w:pPr>
      <w:r w:rsidRPr="003D70A0">
        <w:rPr>
          <w:rFonts w:ascii="Gill Sans MT" w:hAnsi="Gill Sans MT" w:cs="Arial"/>
          <w:bCs/>
        </w:rPr>
        <w:t>Em relação ao stock da dívida públic</w:t>
      </w:r>
      <w:r w:rsidR="00021B33" w:rsidRPr="003D70A0">
        <w:rPr>
          <w:rFonts w:ascii="Gill Sans MT" w:hAnsi="Gill Sans MT" w:cs="Arial"/>
          <w:bCs/>
        </w:rPr>
        <w:t xml:space="preserve">a, excluindo os TCMF, </w:t>
      </w:r>
      <w:r w:rsidR="00B231BB" w:rsidRPr="003D70A0">
        <w:rPr>
          <w:rFonts w:ascii="Gill Sans MT" w:hAnsi="Gill Sans MT" w:cs="Arial"/>
          <w:bCs/>
        </w:rPr>
        <w:t>com a</w:t>
      </w:r>
      <w:r w:rsidR="002524CC" w:rsidRPr="003D70A0">
        <w:rPr>
          <w:rFonts w:ascii="Gill Sans MT" w:hAnsi="Gill Sans MT" w:cs="Arial"/>
          <w:bCs/>
        </w:rPr>
        <w:t xml:space="preserve"> redução </w:t>
      </w:r>
      <w:r w:rsidR="007B150A" w:rsidRPr="003D70A0">
        <w:rPr>
          <w:rFonts w:ascii="Gill Sans MT" w:hAnsi="Gill Sans MT" w:cs="Arial"/>
          <w:bCs/>
        </w:rPr>
        <w:t xml:space="preserve">do </w:t>
      </w:r>
      <w:r w:rsidR="007253A1">
        <w:rPr>
          <w:rFonts w:ascii="Gill Sans MT" w:hAnsi="Gill Sans MT" w:cs="Arial"/>
          <w:bCs/>
        </w:rPr>
        <w:t>PIB</w:t>
      </w:r>
      <w:r w:rsidR="007253A1" w:rsidRPr="003D70A0">
        <w:rPr>
          <w:rFonts w:ascii="Gill Sans MT" w:hAnsi="Gill Sans MT" w:cs="Arial"/>
          <w:bCs/>
        </w:rPr>
        <w:t xml:space="preserve"> </w:t>
      </w:r>
      <w:r w:rsidR="007B150A" w:rsidRPr="003D70A0">
        <w:rPr>
          <w:rFonts w:ascii="Gill Sans MT" w:hAnsi="Gill Sans MT" w:cs="Arial"/>
          <w:bCs/>
        </w:rPr>
        <w:t>e do aumento das necessidades de</w:t>
      </w:r>
      <w:r w:rsidR="002524CC" w:rsidRPr="003D70A0">
        <w:rPr>
          <w:rFonts w:ascii="Gill Sans MT" w:hAnsi="Gill Sans MT" w:cs="Arial"/>
          <w:bCs/>
        </w:rPr>
        <w:t xml:space="preserve"> financiamento</w:t>
      </w:r>
      <w:r w:rsidR="009C2DF6">
        <w:rPr>
          <w:rFonts w:ascii="Gill Sans MT" w:hAnsi="Gill Sans MT" w:cs="Arial"/>
          <w:bCs/>
        </w:rPr>
        <w:t xml:space="preserve"> em função dos efeitos da pandemia</w:t>
      </w:r>
      <w:r w:rsidR="002524CC" w:rsidRPr="003D70A0">
        <w:rPr>
          <w:rFonts w:ascii="Gill Sans MT" w:hAnsi="Gill Sans MT" w:cs="Arial"/>
          <w:bCs/>
        </w:rPr>
        <w:t xml:space="preserve">, tem-se que no </w:t>
      </w:r>
      <w:r w:rsidR="007253A1">
        <w:rPr>
          <w:rFonts w:ascii="Gill Sans MT" w:hAnsi="Gill Sans MT" w:cs="Arial"/>
          <w:bCs/>
        </w:rPr>
        <w:t>IV</w:t>
      </w:r>
      <w:r w:rsidR="007253A1" w:rsidRPr="003D70A0">
        <w:rPr>
          <w:rFonts w:ascii="Gill Sans MT" w:hAnsi="Gill Sans MT" w:cs="Arial"/>
          <w:bCs/>
        </w:rPr>
        <w:t xml:space="preserve"> </w:t>
      </w:r>
      <w:r w:rsidR="007253A1">
        <w:rPr>
          <w:rFonts w:ascii="Gill Sans MT" w:hAnsi="Gill Sans MT" w:cs="Arial"/>
          <w:bCs/>
        </w:rPr>
        <w:t>T</w:t>
      </w:r>
      <w:r w:rsidR="007253A1" w:rsidRPr="003D70A0">
        <w:rPr>
          <w:rFonts w:ascii="Gill Sans MT" w:hAnsi="Gill Sans MT" w:cs="Arial"/>
          <w:bCs/>
        </w:rPr>
        <w:t>rimestre</w:t>
      </w:r>
      <w:r w:rsidR="002524CC" w:rsidRPr="003D70A0">
        <w:rPr>
          <w:rFonts w:ascii="Gill Sans MT" w:hAnsi="Gill Sans MT" w:cs="Arial"/>
          <w:bCs/>
        </w:rPr>
        <w:t xml:space="preserve">, o rácio </w:t>
      </w:r>
      <w:r w:rsidR="002524CC" w:rsidRPr="0071471F">
        <w:rPr>
          <w:rFonts w:ascii="Gill Sans MT" w:hAnsi="Gill Sans MT" w:cs="Arial"/>
          <w:bCs/>
          <w:i/>
        </w:rPr>
        <w:t>stock</w:t>
      </w:r>
      <w:r w:rsidR="002524CC" w:rsidRPr="003D70A0">
        <w:rPr>
          <w:rFonts w:ascii="Gill Sans MT" w:hAnsi="Gill Sans MT" w:cs="Arial"/>
          <w:bCs/>
        </w:rPr>
        <w:t xml:space="preserve"> da dívida pública/PIB atingiu provisoriamente 1</w:t>
      </w:r>
      <w:r w:rsidR="00A605E5" w:rsidRPr="003D70A0">
        <w:rPr>
          <w:rFonts w:ascii="Gill Sans MT" w:hAnsi="Gill Sans MT" w:cs="Arial"/>
          <w:bCs/>
        </w:rPr>
        <w:t>51</w:t>
      </w:r>
      <w:r w:rsidR="002524CC" w:rsidRPr="003D70A0">
        <w:rPr>
          <w:rFonts w:ascii="Gill Sans MT" w:hAnsi="Gill Sans MT" w:cs="Arial"/>
          <w:bCs/>
        </w:rPr>
        <w:t>,</w:t>
      </w:r>
      <w:r w:rsidR="00A605E5" w:rsidRPr="003D70A0">
        <w:rPr>
          <w:rFonts w:ascii="Gill Sans MT" w:hAnsi="Gill Sans MT" w:cs="Arial"/>
          <w:bCs/>
        </w:rPr>
        <w:t>1</w:t>
      </w:r>
      <w:r w:rsidR="002524CC" w:rsidRPr="003D70A0">
        <w:rPr>
          <w:rFonts w:ascii="Gill Sans MT" w:hAnsi="Gill Sans MT" w:cs="Arial"/>
          <w:bCs/>
        </w:rPr>
        <w:t>%</w:t>
      </w:r>
      <w:r w:rsidRPr="003D70A0">
        <w:rPr>
          <w:rFonts w:ascii="Gill Sans MT" w:hAnsi="Gill Sans MT" w:cs="Arial"/>
          <w:bCs/>
        </w:rPr>
        <w:t xml:space="preserve">, </w:t>
      </w:r>
      <w:r w:rsidR="00141462" w:rsidRPr="003D70A0">
        <w:rPr>
          <w:rFonts w:ascii="Gill Sans MT" w:hAnsi="Gill Sans MT" w:cs="Arial"/>
          <w:bCs/>
        </w:rPr>
        <w:t>aumentando</w:t>
      </w:r>
      <w:r w:rsidR="00C42201" w:rsidRPr="003D70A0">
        <w:rPr>
          <w:rFonts w:ascii="Gill Sans MT" w:hAnsi="Gill Sans MT" w:cs="Arial"/>
          <w:bCs/>
        </w:rPr>
        <w:t xml:space="preserve"> cerca de</w:t>
      </w:r>
      <w:r w:rsidR="00141462" w:rsidRPr="003D70A0">
        <w:rPr>
          <w:rFonts w:ascii="Gill Sans MT" w:hAnsi="Gill Sans MT" w:cs="Arial"/>
          <w:bCs/>
        </w:rPr>
        <w:t xml:space="preserve"> </w:t>
      </w:r>
      <w:r w:rsidR="00C42201" w:rsidRPr="003D70A0">
        <w:rPr>
          <w:rFonts w:ascii="Gill Sans MT" w:hAnsi="Gill Sans MT" w:cs="Arial"/>
          <w:bCs/>
        </w:rPr>
        <w:t>27</w:t>
      </w:r>
      <w:r w:rsidRPr="003D70A0">
        <w:rPr>
          <w:rFonts w:ascii="Gill Sans MT" w:hAnsi="Gill Sans MT" w:cs="Arial"/>
          <w:bCs/>
        </w:rPr>
        <w:t>,</w:t>
      </w:r>
      <w:r w:rsidR="00C42201" w:rsidRPr="003D70A0">
        <w:rPr>
          <w:rFonts w:ascii="Gill Sans MT" w:hAnsi="Gill Sans MT" w:cs="Arial"/>
          <w:bCs/>
        </w:rPr>
        <w:t>0</w:t>
      </w:r>
      <w:r w:rsidR="006A1D47" w:rsidRPr="003D70A0">
        <w:rPr>
          <w:rFonts w:ascii="Gill Sans MT" w:hAnsi="Gill Sans MT" w:cs="Arial"/>
          <w:bCs/>
        </w:rPr>
        <w:t>p</w:t>
      </w:r>
      <w:r w:rsidRPr="003D70A0">
        <w:rPr>
          <w:rFonts w:ascii="Gill Sans MT" w:hAnsi="Gill Sans MT" w:cs="Arial"/>
          <w:bCs/>
        </w:rPr>
        <w:t>.p.</w:t>
      </w:r>
      <w:r w:rsidR="00030891" w:rsidRPr="003D70A0">
        <w:rPr>
          <w:rFonts w:ascii="Gill Sans MT" w:hAnsi="Gill Sans MT" w:cs="Arial"/>
          <w:bCs/>
        </w:rPr>
        <w:t>,</w:t>
      </w:r>
      <w:r w:rsidRPr="003D70A0">
        <w:rPr>
          <w:rFonts w:ascii="Gill Sans MT" w:hAnsi="Gill Sans MT" w:cs="Arial"/>
          <w:bCs/>
        </w:rPr>
        <w:t xml:space="preserve"> </w:t>
      </w:r>
      <w:r w:rsidR="00CB6EED" w:rsidRPr="003D70A0">
        <w:rPr>
          <w:rFonts w:ascii="Gill Sans MT" w:hAnsi="Gill Sans MT" w:cs="Arial"/>
          <w:bCs/>
        </w:rPr>
        <w:t>face ao</w:t>
      </w:r>
      <w:r w:rsidR="00021B33" w:rsidRPr="003D70A0">
        <w:rPr>
          <w:rFonts w:ascii="Gill Sans MT" w:hAnsi="Gill Sans MT" w:cs="Arial"/>
          <w:bCs/>
        </w:rPr>
        <w:t xml:space="preserve"> valor registado em</w:t>
      </w:r>
      <w:r w:rsidR="00B9101F" w:rsidRPr="003D70A0">
        <w:rPr>
          <w:rFonts w:ascii="Gill Sans MT" w:hAnsi="Gill Sans MT" w:cs="Arial"/>
          <w:bCs/>
        </w:rPr>
        <w:t xml:space="preserve"> igual período de</w:t>
      </w:r>
      <w:r w:rsidRPr="003D70A0">
        <w:rPr>
          <w:rFonts w:ascii="Gill Sans MT" w:hAnsi="Gill Sans MT" w:cs="Arial"/>
          <w:bCs/>
        </w:rPr>
        <w:t xml:space="preserve"> 20</w:t>
      </w:r>
      <w:r w:rsidR="00150ADC" w:rsidRPr="003D70A0">
        <w:rPr>
          <w:rFonts w:ascii="Gill Sans MT" w:hAnsi="Gill Sans MT" w:cs="Arial"/>
          <w:bCs/>
        </w:rPr>
        <w:t>19</w:t>
      </w:r>
      <w:r w:rsidR="009C2DF6">
        <w:rPr>
          <w:rFonts w:ascii="Gill Sans MT" w:hAnsi="Gill Sans MT" w:cs="Arial"/>
          <w:bCs/>
        </w:rPr>
        <w:t>, rompendo com a trajetória decrescente desde 2017</w:t>
      </w:r>
      <w:r w:rsidRPr="003D70A0">
        <w:rPr>
          <w:rFonts w:ascii="Gill Sans MT" w:hAnsi="Gill Sans MT" w:cs="Arial"/>
          <w:bCs/>
        </w:rPr>
        <w:t xml:space="preserve">. Analisando a estrutura da dívida, constata-se que o </w:t>
      </w:r>
      <w:r w:rsidRPr="0071471F">
        <w:rPr>
          <w:rFonts w:ascii="Gill Sans MT" w:hAnsi="Gill Sans MT" w:cs="Arial"/>
          <w:bCs/>
          <w:i/>
        </w:rPr>
        <w:t>stock</w:t>
      </w:r>
      <w:r w:rsidRPr="003D70A0">
        <w:rPr>
          <w:rFonts w:ascii="Gill Sans MT" w:hAnsi="Gill Sans MT" w:cs="Arial"/>
          <w:bCs/>
        </w:rPr>
        <w:t xml:space="preserve"> da dívida interna atingiu </w:t>
      </w:r>
      <w:r w:rsidR="00C42201" w:rsidRPr="003D70A0">
        <w:rPr>
          <w:rFonts w:ascii="Gill Sans MT" w:hAnsi="Gill Sans MT" w:cs="Arial"/>
          <w:bCs/>
        </w:rPr>
        <w:t>71.401</w:t>
      </w:r>
      <w:r w:rsidRPr="003D70A0">
        <w:rPr>
          <w:rFonts w:ascii="Gill Sans MT" w:hAnsi="Gill Sans MT" w:cs="Arial"/>
          <w:bCs/>
        </w:rPr>
        <w:t>,</w:t>
      </w:r>
      <w:r w:rsidR="00C42201" w:rsidRPr="003D70A0">
        <w:rPr>
          <w:rFonts w:ascii="Gill Sans MT" w:hAnsi="Gill Sans MT" w:cs="Arial"/>
          <w:bCs/>
        </w:rPr>
        <w:t>0</w:t>
      </w:r>
      <w:r w:rsidRPr="003D70A0">
        <w:rPr>
          <w:rFonts w:ascii="Gill Sans MT" w:hAnsi="Gill Sans MT" w:cs="Arial"/>
          <w:bCs/>
        </w:rPr>
        <w:t xml:space="preserve"> milhões de CVE (</w:t>
      </w:r>
      <w:r w:rsidR="00C42201" w:rsidRPr="003D70A0">
        <w:rPr>
          <w:rFonts w:ascii="Gill Sans MT" w:hAnsi="Gill Sans MT" w:cs="Arial"/>
          <w:bCs/>
        </w:rPr>
        <w:t>42</w:t>
      </w:r>
      <w:r w:rsidRPr="003D70A0">
        <w:rPr>
          <w:rFonts w:ascii="Gill Sans MT" w:hAnsi="Gill Sans MT" w:cs="Arial"/>
          <w:bCs/>
        </w:rPr>
        <w:t>,</w:t>
      </w:r>
      <w:r w:rsidR="00C42201" w:rsidRPr="003D70A0">
        <w:rPr>
          <w:rFonts w:ascii="Gill Sans MT" w:hAnsi="Gill Sans MT" w:cs="Arial"/>
          <w:bCs/>
        </w:rPr>
        <w:t>2</w:t>
      </w:r>
      <w:r w:rsidRPr="003D70A0">
        <w:rPr>
          <w:rFonts w:ascii="Gill Sans MT" w:hAnsi="Gill Sans MT" w:cs="Arial"/>
          <w:bCs/>
        </w:rPr>
        <w:t>%) e o stock da dívida externa em 1</w:t>
      </w:r>
      <w:r w:rsidR="00B231BB" w:rsidRPr="003D70A0">
        <w:rPr>
          <w:rFonts w:ascii="Gill Sans MT" w:hAnsi="Gill Sans MT" w:cs="Arial"/>
          <w:bCs/>
        </w:rPr>
        <w:t>8</w:t>
      </w:r>
      <w:r w:rsidR="00C42201" w:rsidRPr="003D70A0">
        <w:rPr>
          <w:rFonts w:ascii="Gill Sans MT" w:hAnsi="Gill Sans MT" w:cs="Arial"/>
          <w:bCs/>
        </w:rPr>
        <w:t>4</w:t>
      </w:r>
      <w:r w:rsidRPr="003D70A0">
        <w:rPr>
          <w:rFonts w:ascii="Gill Sans MT" w:hAnsi="Gill Sans MT" w:cs="Arial"/>
          <w:bCs/>
        </w:rPr>
        <w:t>.</w:t>
      </w:r>
      <w:r w:rsidR="00C42201" w:rsidRPr="003D70A0">
        <w:rPr>
          <w:rFonts w:ascii="Gill Sans MT" w:hAnsi="Gill Sans MT" w:cs="Arial"/>
          <w:bCs/>
        </w:rPr>
        <w:t>118</w:t>
      </w:r>
      <w:r w:rsidRPr="003D70A0">
        <w:rPr>
          <w:rFonts w:ascii="Gill Sans MT" w:hAnsi="Gill Sans MT" w:cs="Arial"/>
          <w:bCs/>
        </w:rPr>
        <w:t>,</w:t>
      </w:r>
      <w:r w:rsidR="00C42201" w:rsidRPr="003D70A0">
        <w:rPr>
          <w:rFonts w:ascii="Gill Sans MT" w:hAnsi="Gill Sans MT" w:cs="Arial"/>
          <w:bCs/>
        </w:rPr>
        <w:t>8</w:t>
      </w:r>
      <w:r w:rsidRPr="003D70A0">
        <w:rPr>
          <w:rFonts w:ascii="Gill Sans MT" w:hAnsi="Gill Sans MT" w:cs="Arial"/>
          <w:bCs/>
        </w:rPr>
        <w:t xml:space="preserve"> milhões de CVE (</w:t>
      </w:r>
      <w:r w:rsidR="00C42201" w:rsidRPr="003D70A0">
        <w:rPr>
          <w:rFonts w:ascii="Gill Sans MT" w:hAnsi="Gill Sans MT" w:cs="Arial"/>
          <w:bCs/>
        </w:rPr>
        <w:t>108</w:t>
      </w:r>
      <w:r w:rsidRPr="003D70A0">
        <w:rPr>
          <w:rFonts w:ascii="Gill Sans MT" w:hAnsi="Gill Sans MT" w:cs="Arial"/>
          <w:bCs/>
        </w:rPr>
        <w:t>,</w:t>
      </w:r>
      <w:r w:rsidR="00C42201" w:rsidRPr="003D70A0">
        <w:rPr>
          <w:rFonts w:ascii="Gill Sans MT" w:hAnsi="Gill Sans MT" w:cs="Arial"/>
          <w:bCs/>
        </w:rPr>
        <w:t>9</w:t>
      </w:r>
      <w:r w:rsidRPr="003D70A0">
        <w:rPr>
          <w:rFonts w:ascii="Gill Sans MT" w:hAnsi="Gill Sans MT" w:cs="Arial"/>
          <w:bCs/>
        </w:rPr>
        <w:t>%).</w:t>
      </w:r>
    </w:p>
    <w:p w14:paraId="5D670B0C" w14:textId="7A84CC76" w:rsidR="00546AB6" w:rsidRDefault="00546AB6" w:rsidP="00DD7B28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E978AD">
        <w:rPr>
          <w:rFonts w:ascii="Gill Sans MT" w:eastAsia="Calibri" w:hAnsi="Gill Sans MT" w:cs="Times New Roman"/>
          <w:b/>
          <w:bCs/>
        </w:rPr>
        <w:t xml:space="preserve">Gráfico </w:t>
      </w:r>
      <w:r w:rsidR="006E1B2E">
        <w:rPr>
          <w:rFonts w:ascii="Gill Sans MT" w:eastAsia="Calibri" w:hAnsi="Gill Sans MT" w:cs="Times New Roman"/>
          <w:b/>
          <w:bCs/>
        </w:rPr>
        <w:t>1</w:t>
      </w:r>
      <w:r w:rsidR="00105A2D">
        <w:rPr>
          <w:rFonts w:ascii="Gill Sans MT" w:eastAsia="Calibri" w:hAnsi="Gill Sans MT" w:cs="Times New Roman"/>
          <w:b/>
          <w:bCs/>
        </w:rPr>
        <w:t>5</w:t>
      </w:r>
      <w:r w:rsidRPr="00E978AD">
        <w:rPr>
          <w:rFonts w:ascii="Gill Sans MT" w:eastAsia="Calibri" w:hAnsi="Gill Sans MT" w:cs="Times New Roman"/>
          <w:b/>
          <w:bCs/>
        </w:rPr>
        <w:t xml:space="preserve">: </w:t>
      </w:r>
      <w:r>
        <w:rPr>
          <w:rFonts w:ascii="Gill Sans MT" w:eastAsia="Calibri" w:hAnsi="Gill Sans MT" w:cs="Times New Roman"/>
          <w:b/>
          <w:bCs/>
        </w:rPr>
        <w:t xml:space="preserve">Evolução da Dívida Pública </w:t>
      </w:r>
      <w:r w:rsidRPr="00E978AD">
        <w:rPr>
          <w:rFonts w:ascii="Gill Sans MT" w:eastAsia="Calibri" w:hAnsi="Gill Sans MT" w:cs="Times New Roman"/>
          <w:b/>
          <w:bCs/>
        </w:rPr>
        <w:t xml:space="preserve"> </w:t>
      </w:r>
    </w:p>
    <w:p w14:paraId="551FA19A" w14:textId="77777777" w:rsidR="00546AB6" w:rsidRPr="00E978AD" w:rsidRDefault="00546AB6" w:rsidP="00DD7B28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39876D68" w14:textId="4C29C787" w:rsidR="00546AB6" w:rsidRDefault="00FD01FA" w:rsidP="000A4F50">
      <w:pPr>
        <w:spacing w:after="0" w:line="240" w:lineRule="auto"/>
        <w:jc w:val="center"/>
        <w:rPr>
          <w:rFonts w:ascii="Gill Sans MT" w:hAnsi="Gill Sans MT" w:cs="Arial"/>
          <w:bCs/>
        </w:rPr>
      </w:pPr>
      <w:r w:rsidRPr="00FD01FA">
        <w:rPr>
          <w:noProof/>
          <w:lang w:eastAsia="pt-PT"/>
        </w:rPr>
        <w:drawing>
          <wp:inline distT="0" distB="0" distL="0" distR="0" wp14:anchorId="5B4360C5" wp14:editId="26A4987D">
            <wp:extent cx="4107976" cy="2516010"/>
            <wp:effectExtent l="0" t="0" r="698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10" cy="25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ED83" w14:textId="6622FA80" w:rsidR="00546AB6" w:rsidRPr="007D68E6" w:rsidRDefault="00546AB6" w:rsidP="007D68E6">
      <w:pPr>
        <w:spacing w:after="0" w:line="240" w:lineRule="auto"/>
        <w:jc w:val="center"/>
        <w:rPr>
          <w:rFonts w:ascii="Gill Sans MT" w:hAnsi="Gill Sans MT" w:cs="Arial"/>
          <w:b/>
          <w:bCs/>
          <w:sz w:val="18"/>
          <w:szCs w:val="18"/>
        </w:rPr>
      </w:pPr>
      <w:r w:rsidRPr="00614F3A"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614F3A">
        <w:rPr>
          <w:rFonts w:ascii="Gill Sans MT" w:hAnsi="Gill Sans MT" w:cs="Arial"/>
          <w:bCs/>
          <w:sz w:val="18"/>
          <w:szCs w:val="18"/>
        </w:rPr>
        <w:t>Ministério das Finanças.</w:t>
      </w:r>
    </w:p>
    <w:p w14:paraId="5EA2C5ED" w14:textId="77777777" w:rsidR="006E2F0E" w:rsidRDefault="006E2F0E" w:rsidP="002C24D7">
      <w:pPr>
        <w:spacing w:line="360" w:lineRule="auto"/>
        <w:jc w:val="both"/>
        <w:rPr>
          <w:rFonts w:ascii="Gill Sans MT" w:hAnsi="Gill Sans MT" w:cs="Arial"/>
          <w:bCs/>
        </w:rPr>
      </w:pPr>
    </w:p>
    <w:p w14:paraId="7CAB5290" w14:textId="361B05C5" w:rsidR="00995A9A" w:rsidRDefault="00492901" w:rsidP="006E1B2E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  <w:r w:rsidRPr="00397D92">
        <w:rPr>
          <w:rFonts w:ascii="Gill Sans MT" w:hAnsi="Gill Sans MT" w:cs="Arial"/>
          <w:bCs/>
        </w:rPr>
        <w:t xml:space="preserve">O serviço da </w:t>
      </w:r>
      <w:r w:rsidR="00E27F42" w:rsidRPr="00397D92">
        <w:rPr>
          <w:rFonts w:ascii="Gill Sans MT" w:hAnsi="Gill Sans MT" w:cs="Arial"/>
          <w:bCs/>
        </w:rPr>
        <w:t xml:space="preserve">dívida </w:t>
      </w:r>
      <w:r w:rsidR="009C2DF6">
        <w:rPr>
          <w:rFonts w:ascii="Gill Sans MT" w:hAnsi="Gill Sans MT" w:cs="Arial"/>
          <w:bCs/>
        </w:rPr>
        <w:t xml:space="preserve">pública </w:t>
      </w:r>
      <w:r w:rsidR="00E27F42" w:rsidRPr="00397D92">
        <w:rPr>
          <w:rFonts w:ascii="Gill Sans MT" w:hAnsi="Gill Sans MT" w:cs="Arial"/>
          <w:bCs/>
        </w:rPr>
        <w:t xml:space="preserve">no período </w:t>
      </w:r>
      <w:r w:rsidRPr="00397D92">
        <w:rPr>
          <w:rFonts w:ascii="Gill Sans MT" w:hAnsi="Gill Sans MT" w:cs="Arial"/>
          <w:bCs/>
        </w:rPr>
        <w:t xml:space="preserve">cresceu </w:t>
      </w:r>
      <w:r w:rsidR="00276C7E" w:rsidRPr="00397D92">
        <w:rPr>
          <w:rFonts w:ascii="Gill Sans MT" w:hAnsi="Gill Sans MT" w:cs="Arial"/>
          <w:bCs/>
        </w:rPr>
        <w:t>21</w:t>
      </w:r>
      <w:r w:rsidRPr="00397D92">
        <w:rPr>
          <w:rFonts w:ascii="Gill Sans MT" w:hAnsi="Gill Sans MT" w:cs="Arial"/>
          <w:bCs/>
        </w:rPr>
        <w:t>,</w:t>
      </w:r>
      <w:r w:rsidR="00E27F42" w:rsidRPr="00397D92">
        <w:rPr>
          <w:rFonts w:ascii="Gill Sans MT" w:hAnsi="Gill Sans MT" w:cs="Arial"/>
          <w:bCs/>
        </w:rPr>
        <w:t>3</w:t>
      </w:r>
      <w:r w:rsidRPr="00397D92">
        <w:rPr>
          <w:rFonts w:ascii="Gill Sans MT" w:hAnsi="Gill Sans MT" w:cs="Arial"/>
          <w:bCs/>
        </w:rPr>
        <w:t xml:space="preserve">%, atingindo o montante de </w:t>
      </w:r>
      <w:r w:rsidR="004856BC">
        <w:rPr>
          <w:rFonts w:ascii="Gill Sans MT" w:hAnsi="Gill Sans MT" w:cs="Arial"/>
          <w:bCs/>
        </w:rPr>
        <w:t>5</w:t>
      </w:r>
      <w:r w:rsidR="00D4715B" w:rsidRPr="00397D92">
        <w:rPr>
          <w:rFonts w:ascii="Gill Sans MT" w:hAnsi="Gill Sans MT" w:cs="Arial"/>
          <w:bCs/>
        </w:rPr>
        <w:t>.</w:t>
      </w:r>
      <w:r w:rsidR="00397D92" w:rsidRPr="00397D92">
        <w:rPr>
          <w:rFonts w:ascii="Gill Sans MT" w:hAnsi="Gill Sans MT" w:cs="Arial"/>
          <w:bCs/>
        </w:rPr>
        <w:t>7</w:t>
      </w:r>
      <w:r w:rsidR="004856BC">
        <w:rPr>
          <w:rFonts w:ascii="Gill Sans MT" w:hAnsi="Gill Sans MT" w:cs="Arial"/>
          <w:bCs/>
        </w:rPr>
        <w:t>33</w:t>
      </w:r>
      <w:r w:rsidR="00D4715B" w:rsidRPr="00397D92">
        <w:rPr>
          <w:rFonts w:ascii="Gill Sans MT" w:hAnsi="Gill Sans MT" w:cs="Arial"/>
          <w:bCs/>
        </w:rPr>
        <w:t>,</w:t>
      </w:r>
      <w:r w:rsidR="004856BC">
        <w:rPr>
          <w:rFonts w:ascii="Gill Sans MT" w:hAnsi="Gill Sans MT" w:cs="Arial"/>
          <w:bCs/>
        </w:rPr>
        <w:t>3</w:t>
      </w:r>
      <w:r w:rsidR="00D4715B" w:rsidRPr="00397D92">
        <w:rPr>
          <w:rFonts w:ascii="Gill Sans MT" w:hAnsi="Gill Sans MT" w:cs="Arial"/>
          <w:bCs/>
        </w:rPr>
        <w:t xml:space="preserve"> </w:t>
      </w:r>
      <w:r w:rsidRPr="00397D92">
        <w:rPr>
          <w:rFonts w:ascii="Gill Sans MT" w:hAnsi="Gill Sans MT" w:cs="Arial"/>
          <w:bCs/>
        </w:rPr>
        <w:t>milhões de CVE</w:t>
      </w:r>
      <w:r w:rsidR="00A23225" w:rsidRPr="00397D92">
        <w:rPr>
          <w:rFonts w:ascii="Gill Sans MT" w:hAnsi="Gill Sans MT" w:cs="Arial"/>
          <w:bCs/>
        </w:rPr>
        <w:t>,</w:t>
      </w:r>
      <w:r w:rsidRPr="00397D92">
        <w:rPr>
          <w:rFonts w:ascii="Gill Sans MT" w:hAnsi="Gill Sans MT" w:cs="Arial"/>
          <w:bCs/>
        </w:rPr>
        <w:t xml:space="preserve"> </w:t>
      </w:r>
      <w:r w:rsidR="00397D92" w:rsidRPr="00397D92">
        <w:rPr>
          <w:rFonts w:ascii="Source Sans Pro" w:hAnsi="Source Sans Pro"/>
        </w:rPr>
        <w:t xml:space="preserve">sendo </w:t>
      </w:r>
      <w:r w:rsidR="004856BC">
        <w:rPr>
          <w:rFonts w:ascii="Source Sans Pro" w:hAnsi="Source Sans Pro"/>
        </w:rPr>
        <w:t>4</w:t>
      </w:r>
      <w:r w:rsidR="00397D92" w:rsidRPr="00397D92">
        <w:rPr>
          <w:rFonts w:ascii="Source Sans Pro" w:hAnsi="Source Sans Pro"/>
        </w:rPr>
        <w:t>.</w:t>
      </w:r>
      <w:r w:rsidR="004856BC">
        <w:rPr>
          <w:rFonts w:ascii="Source Sans Pro" w:hAnsi="Source Sans Pro"/>
        </w:rPr>
        <w:t>128</w:t>
      </w:r>
      <w:r w:rsidR="00397D92" w:rsidRPr="00397D92">
        <w:rPr>
          <w:rFonts w:ascii="Source Sans Pro" w:hAnsi="Source Sans Pro"/>
        </w:rPr>
        <w:t>,</w:t>
      </w:r>
      <w:r w:rsidR="004856BC">
        <w:rPr>
          <w:rFonts w:ascii="Source Sans Pro" w:hAnsi="Source Sans Pro"/>
        </w:rPr>
        <w:t>8</w:t>
      </w:r>
      <w:r w:rsidR="00397D92" w:rsidRPr="00397D92">
        <w:rPr>
          <w:rFonts w:ascii="Source Sans Pro" w:hAnsi="Source Sans Pro"/>
        </w:rPr>
        <w:t xml:space="preserve"> milhões </w:t>
      </w:r>
      <w:r w:rsidR="00CF73B1">
        <w:rPr>
          <w:rFonts w:ascii="Source Sans Pro" w:hAnsi="Source Sans Pro"/>
        </w:rPr>
        <w:t>d</w:t>
      </w:r>
      <w:r w:rsidR="00397D92" w:rsidRPr="00397D92">
        <w:rPr>
          <w:rFonts w:ascii="Source Sans Pro" w:hAnsi="Source Sans Pro"/>
        </w:rPr>
        <w:t xml:space="preserve">e CVE   para as amortizações e </w:t>
      </w:r>
      <w:r w:rsidR="004856BC">
        <w:rPr>
          <w:rFonts w:ascii="Source Sans Pro" w:hAnsi="Source Sans Pro"/>
        </w:rPr>
        <w:t>1</w:t>
      </w:r>
      <w:r w:rsidR="00397D92" w:rsidRPr="00397D92">
        <w:rPr>
          <w:rFonts w:ascii="Source Sans Pro" w:hAnsi="Source Sans Pro"/>
        </w:rPr>
        <w:t>.</w:t>
      </w:r>
      <w:r w:rsidR="004856BC">
        <w:rPr>
          <w:rFonts w:ascii="Source Sans Pro" w:hAnsi="Source Sans Pro"/>
        </w:rPr>
        <w:t>604</w:t>
      </w:r>
      <w:r w:rsidR="00397D92" w:rsidRPr="00397D92">
        <w:rPr>
          <w:rFonts w:ascii="Source Sans Pro" w:hAnsi="Source Sans Pro"/>
        </w:rPr>
        <w:t>,5 milhões de CVE para os juros</w:t>
      </w:r>
      <w:r w:rsidRPr="00397D92">
        <w:rPr>
          <w:rFonts w:ascii="Gill Sans MT" w:hAnsi="Gill Sans MT" w:cs="Arial"/>
          <w:bCs/>
        </w:rPr>
        <w:t xml:space="preserve">. </w:t>
      </w:r>
      <w:r w:rsidR="00B336CD">
        <w:rPr>
          <w:rFonts w:ascii="Gill Sans MT" w:hAnsi="Gill Sans MT" w:cs="Arial"/>
          <w:bCs/>
        </w:rPr>
        <w:t>A redução de 5,0% no período, é justificado pela moratória do serviço da dívida, concedida pelos credores bilaterais, bem como pela variação cambial.</w:t>
      </w:r>
    </w:p>
    <w:p w14:paraId="30592E73" w14:textId="1390D0B5" w:rsidR="00F25F52" w:rsidRDefault="00F25F52" w:rsidP="006E1B2E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</w:p>
    <w:p w14:paraId="35A37118" w14:textId="1FAD2814" w:rsidR="00C36DF1" w:rsidRDefault="00C36DF1" w:rsidP="006E1B2E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</w:p>
    <w:p w14:paraId="50E74827" w14:textId="77777777" w:rsidR="00C36DF1" w:rsidRPr="00F25F52" w:rsidRDefault="00C36DF1" w:rsidP="006E1B2E">
      <w:pPr>
        <w:spacing w:line="360" w:lineRule="auto"/>
        <w:jc w:val="both"/>
        <w:rPr>
          <w:rFonts w:ascii="Gill Sans MT" w:hAnsi="Gill Sans MT" w:cs="Arial"/>
          <w:bCs/>
          <w:color w:val="FF0000"/>
        </w:rPr>
      </w:pPr>
    </w:p>
    <w:p w14:paraId="5EBAD64E" w14:textId="47BD1627" w:rsidR="006E1B2E" w:rsidRDefault="006E1B2E" w:rsidP="006E1B2E">
      <w:pPr>
        <w:pStyle w:val="PargrafodaLista"/>
        <w:spacing w:line="600" w:lineRule="auto"/>
        <w:ind w:left="0" w:firstLine="709"/>
        <w:jc w:val="both"/>
        <w:outlineLvl w:val="1"/>
        <w:rPr>
          <w:rFonts w:ascii="Gill Sans MT" w:hAnsi="Gill Sans MT"/>
          <w:bCs/>
          <w:sz w:val="22"/>
          <w:szCs w:val="22"/>
        </w:rPr>
      </w:pPr>
      <w:bookmarkStart w:id="9" w:name="_Toc65659058"/>
      <w:r>
        <w:rPr>
          <w:rFonts w:ascii="Gill Sans MT" w:eastAsiaTheme="minorHAnsi" w:hAnsi="Gill Sans MT" w:cs="Arial"/>
          <w:b/>
          <w:bCs/>
          <w:sz w:val="22"/>
          <w:szCs w:val="22"/>
        </w:rPr>
        <w:lastRenderedPageBreak/>
        <w:t>II.4. Setor Monetário</w:t>
      </w:r>
      <w:bookmarkEnd w:id="9"/>
    </w:p>
    <w:p w14:paraId="78ECD73E" w14:textId="579832EC" w:rsidR="003F0CB4" w:rsidRPr="00E55B52" w:rsidRDefault="00E55B52" w:rsidP="00E55B52">
      <w:pPr>
        <w:spacing w:before="240" w:after="5" w:line="360" w:lineRule="auto"/>
        <w:ind w:right="65"/>
        <w:jc w:val="both"/>
        <w:rPr>
          <w:rFonts w:asciiTheme="majorHAnsi" w:eastAsia="Arial" w:hAnsiTheme="majorHAnsi" w:cstheme="minorHAnsi"/>
          <w:sz w:val="24"/>
          <w:szCs w:val="24"/>
          <w:lang w:eastAsia="pt-PT"/>
        </w:rPr>
      </w:pPr>
      <w:r w:rsidRPr="00E55B52">
        <w:rPr>
          <w:rFonts w:ascii="Gill Sans MT" w:hAnsi="Gill Sans MT" w:cs="Arial"/>
          <w:bCs/>
        </w:rPr>
        <w:t>No setor monetário, os dados d</w:t>
      </w:r>
      <w:r w:rsidR="0033510A">
        <w:rPr>
          <w:rFonts w:ascii="Gill Sans MT" w:hAnsi="Gill Sans MT" w:cs="Arial"/>
          <w:bCs/>
        </w:rPr>
        <w:t>o</w:t>
      </w:r>
      <w:r w:rsidRPr="00E55B52">
        <w:rPr>
          <w:rFonts w:ascii="Gill Sans MT" w:hAnsi="Gill Sans MT" w:cs="Arial"/>
          <w:bCs/>
        </w:rPr>
        <w:t xml:space="preserve"> Banco Central (BCV) </w:t>
      </w:r>
      <w:r w:rsidR="00800534">
        <w:rPr>
          <w:rFonts w:ascii="Gill Sans MT" w:hAnsi="Gill Sans MT" w:cs="Arial"/>
          <w:bCs/>
        </w:rPr>
        <w:t>mostram que</w:t>
      </w:r>
      <w:r w:rsidR="00800534" w:rsidRPr="00E55B52">
        <w:rPr>
          <w:rFonts w:ascii="Gill Sans MT" w:hAnsi="Gill Sans MT" w:cs="Arial"/>
          <w:bCs/>
        </w:rPr>
        <w:t xml:space="preserve"> </w:t>
      </w:r>
      <w:r w:rsidR="00800534">
        <w:rPr>
          <w:rFonts w:ascii="Gill Sans MT" w:hAnsi="Gill Sans MT" w:cs="Arial"/>
          <w:bCs/>
        </w:rPr>
        <w:t xml:space="preserve">em </w:t>
      </w:r>
      <w:r w:rsidR="003F532D">
        <w:rPr>
          <w:rFonts w:ascii="Gill Sans MT" w:hAnsi="Gill Sans MT" w:cs="Arial"/>
          <w:bCs/>
        </w:rPr>
        <w:t>dez</w:t>
      </w:r>
      <w:r w:rsidR="00800534">
        <w:rPr>
          <w:rFonts w:ascii="Gill Sans MT" w:hAnsi="Gill Sans MT" w:cs="Arial"/>
          <w:bCs/>
        </w:rPr>
        <w:t>embro</w:t>
      </w:r>
      <w:r>
        <w:rPr>
          <w:rFonts w:ascii="Gill Sans MT" w:hAnsi="Gill Sans MT" w:cs="Arial"/>
          <w:bCs/>
        </w:rPr>
        <w:t xml:space="preserve"> de 2020</w:t>
      </w:r>
      <w:r w:rsidR="00321C7B">
        <w:rPr>
          <w:rFonts w:ascii="Gill Sans MT" w:hAnsi="Gill Sans MT" w:cs="Arial"/>
          <w:bCs/>
        </w:rPr>
        <w:t xml:space="preserve">, </w:t>
      </w:r>
      <w:r w:rsidR="00800534" w:rsidRPr="00E55B52">
        <w:rPr>
          <w:rFonts w:ascii="Gill Sans MT" w:hAnsi="Gill Sans MT" w:cs="Arial"/>
          <w:bCs/>
        </w:rPr>
        <w:t>a massa monetária</w:t>
      </w:r>
      <w:r>
        <w:rPr>
          <w:rFonts w:ascii="Gill Sans MT" w:hAnsi="Gill Sans MT" w:cs="Arial"/>
          <w:bCs/>
        </w:rPr>
        <w:t xml:space="preserve"> </w:t>
      </w:r>
      <w:r w:rsidRPr="00E55B52">
        <w:rPr>
          <w:rFonts w:ascii="Gill Sans MT" w:hAnsi="Gill Sans MT" w:cs="Arial"/>
          <w:bCs/>
        </w:rPr>
        <w:t xml:space="preserve">cresceu </w:t>
      </w:r>
      <w:r w:rsidR="00321C7B">
        <w:rPr>
          <w:rFonts w:ascii="Gill Sans MT" w:hAnsi="Gill Sans MT" w:cs="Arial"/>
          <w:bCs/>
        </w:rPr>
        <w:t>4</w:t>
      </w:r>
      <w:r w:rsidRPr="00E55B52">
        <w:rPr>
          <w:rFonts w:ascii="Gill Sans MT" w:hAnsi="Gill Sans MT" w:cs="Arial"/>
          <w:bCs/>
        </w:rPr>
        <w:t>,1%, devido essencialmente</w:t>
      </w:r>
      <w:r w:rsidR="0033510A">
        <w:rPr>
          <w:rFonts w:ascii="Gill Sans MT" w:hAnsi="Gill Sans MT" w:cs="Arial"/>
          <w:bCs/>
        </w:rPr>
        <w:t xml:space="preserve"> ao</w:t>
      </w:r>
      <w:r w:rsidRPr="00E55B52">
        <w:rPr>
          <w:rFonts w:ascii="Gill Sans MT" w:hAnsi="Gill Sans MT" w:cs="Arial"/>
          <w:bCs/>
        </w:rPr>
        <w:t xml:space="preserve"> aumento dos ativos internos líquidos (+</w:t>
      </w:r>
      <w:r w:rsidR="00321C7B" w:rsidRPr="00E55B52">
        <w:rPr>
          <w:rFonts w:ascii="Gill Sans MT" w:hAnsi="Gill Sans MT" w:cs="Arial"/>
          <w:bCs/>
        </w:rPr>
        <w:t>1</w:t>
      </w:r>
      <w:r w:rsidR="00321C7B">
        <w:rPr>
          <w:rFonts w:ascii="Gill Sans MT" w:hAnsi="Gill Sans MT" w:cs="Arial"/>
          <w:bCs/>
        </w:rPr>
        <w:t>4</w:t>
      </w:r>
      <w:r w:rsidRPr="00E55B52">
        <w:rPr>
          <w:rFonts w:ascii="Gill Sans MT" w:hAnsi="Gill Sans MT" w:cs="Arial"/>
          <w:bCs/>
        </w:rPr>
        <w:t>,</w:t>
      </w:r>
      <w:r w:rsidR="00321C7B">
        <w:rPr>
          <w:rFonts w:ascii="Gill Sans MT" w:hAnsi="Gill Sans MT" w:cs="Arial"/>
          <w:bCs/>
        </w:rPr>
        <w:t>6</w:t>
      </w:r>
      <w:r w:rsidRPr="00E55B52">
        <w:rPr>
          <w:rFonts w:ascii="Gill Sans MT" w:hAnsi="Gill Sans MT" w:cs="Arial"/>
          <w:bCs/>
        </w:rPr>
        <w:t xml:space="preserve">%). Porém, as reservas internacionais líquidas diminuíram </w:t>
      </w:r>
      <w:r w:rsidR="00321C7B">
        <w:rPr>
          <w:rFonts w:ascii="Gill Sans MT" w:hAnsi="Gill Sans MT" w:cs="Arial"/>
          <w:bCs/>
        </w:rPr>
        <w:t>12</w:t>
      </w:r>
      <w:r w:rsidRPr="00E55B52">
        <w:rPr>
          <w:rFonts w:ascii="Gill Sans MT" w:hAnsi="Gill Sans MT" w:cs="Arial"/>
          <w:bCs/>
        </w:rPr>
        <w:t>,</w:t>
      </w:r>
      <w:r w:rsidR="00321C7B">
        <w:rPr>
          <w:rFonts w:ascii="Gill Sans MT" w:hAnsi="Gill Sans MT" w:cs="Arial"/>
          <w:bCs/>
        </w:rPr>
        <w:t>4</w:t>
      </w:r>
      <w:r w:rsidRPr="00E55B52">
        <w:rPr>
          <w:rFonts w:ascii="Gill Sans MT" w:hAnsi="Gill Sans MT" w:cs="Arial"/>
          <w:bCs/>
        </w:rPr>
        <w:t xml:space="preserve">% no período, a maior redução desde </w:t>
      </w:r>
      <w:r w:rsidR="00321C7B">
        <w:rPr>
          <w:rFonts w:ascii="Gill Sans MT" w:hAnsi="Gill Sans MT" w:cs="Arial"/>
          <w:bCs/>
        </w:rPr>
        <w:t xml:space="preserve">dezembro de </w:t>
      </w:r>
      <w:r w:rsidRPr="00E55B52">
        <w:rPr>
          <w:rFonts w:ascii="Gill Sans MT" w:hAnsi="Gill Sans MT" w:cs="Arial"/>
          <w:bCs/>
        </w:rPr>
        <w:t>2017, dado que a posição externa se deteriorou, devido ao impacto da crise pandêmica no Balanço de Pagamentos</w:t>
      </w:r>
      <w:r w:rsidRPr="001577CF">
        <w:rPr>
          <w:rFonts w:asciiTheme="majorHAnsi" w:eastAsia="Arial" w:hAnsiTheme="majorHAnsi" w:cstheme="minorHAnsi"/>
          <w:sz w:val="24"/>
          <w:szCs w:val="24"/>
          <w:lang w:eastAsia="pt-PT"/>
        </w:rPr>
        <w:t>.</w:t>
      </w:r>
      <w:r>
        <w:rPr>
          <w:rFonts w:asciiTheme="majorHAnsi" w:eastAsia="Arial" w:hAnsiTheme="majorHAnsi" w:cstheme="minorHAnsi"/>
          <w:sz w:val="24"/>
          <w:szCs w:val="24"/>
          <w:lang w:eastAsia="pt-PT"/>
        </w:rPr>
        <w:t xml:space="preserve"> </w:t>
      </w:r>
    </w:p>
    <w:p w14:paraId="2B9A1A45" w14:textId="15174483" w:rsidR="006E1B2E" w:rsidRDefault="006E1B2E" w:rsidP="00495A25">
      <w:pPr>
        <w:spacing w:line="240" w:lineRule="auto"/>
        <w:jc w:val="center"/>
        <w:rPr>
          <w:rFonts w:ascii="Gill Sans MT" w:eastAsia="Calibri" w:hAnsi="Gill Sans MT" w:cs="Times New Roman"/>
          <w:b/>
          <w:bCs/>
        </w:rPr>
      </w:pPr>
      <w:r>
        <w:rPr>
          <w:rFonts w:ascii="Gill Sans MT" w:eastAsia="Calibri" w:hAnsi="Gill Sans MT" w:cs="Times New Roman"/>
          <w:b/>
          <w:bCs/>
        </w:rPr>
        <w:t>Gráfico1</w:t>
      </w:r>
      <w:r w:rsidR="00105A2D">
        <w:rPr>
          <w:rFonts w:ascii="Gill Sans MT" w:eastAsia="Calibri" w:hAnsi="Gill Sans MT" w:cs="Times New Roman"/>
          <w:b/>
          <w:bCs/>
        </w:rPr>
        <w:t>6</w:t>
      </w:r>
      <w:r>
        <w:rPr>
          <w:rFonts w:ascii="Gill Sans MT" w:eastAsia="Calibri" w:hAnsi="Gill Sans MT" w:cs="Times New Roman"/>
          <w:b/>
          <w:bCs/>
        </w:rPr>
        <w:t>: Evolução dos Indicadores Monetários e Financeiros</w:t>
      </w:r>
    </w:p>
    <w:p w14:paraId="51EE8B87" w14:textId="7F724C89" w:rsidR="006E1B2E" w:rsidRDefault="006E1B2E" w:rsidP="00495A25">
      <w:pPr>
        <w:autoSpaceDE w:val="0"/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  </w:t>
      </w:r>
      <w:r w:rsidR="00653606" w:rsidRPr="00653606">
        <w:rPr>
          <w:noProof/>
          <w:lang w:eastAsia="pt-PT"/>
        </w:rPr>
        <w:drawing>
          <wp:inline distT="0" distB="0" distL="0" distR="0" wp14:anchorId="1BD778D2" wp14:editId="70741A29">
            <wp:extent cx="4067033" cy="2380770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08" cy="23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984D" w14:textId="77777777" w:rsidR="006E1B2E" w:rsidRDefault="006E1B2E" w:rsidP="00495A25">
      <w:pPr>
        <w:spacing w:after="0" w:line="240" w:lineRule="auto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C11C83">
        <w:rPr>
          <w:rFonts w:ascii="Gill Sans MT" w:hAnsi="Gill Sans MT" w:cs="Arial"/>
          <w:bCs/>
          <w:sz w:val="18"/>
          <w:szCs w:val="18"/>
        </w:rPr>
        <w:t>Banco de Cabo Verde</w:t>
      </w:r>
      <w:r>
        <w:rPr>
          <w:rFonts w:ascii="Gill Sans MT" w:hAnsi="Gill Sans MT" w:cs="Arial"/>
          <w:bCs/>
          <w:sz w:val="18"/>
          <w:szCs w:val="18"/>
        </w:rPr>
        <w:t>.</w:t>
      </w:r>
    </w:p>
    <w:p w14:paraId="57BB7B8C" w14:textId="77777777" w:rsidR="006030DB" w:rsidRDefault="006030DB" w:rsidP="006E1B2E">
      <w:pPr>
        <w:spacing w:line="360" w:lineRule="auto"/>
        <w:jc w:val="both"/>
        <w:rPr>
          <w:rFonts w:ascii="Gill Sans MT" w:hAnsi="Gill Sans MT" w:cs="Arial"/>
          <w:bCs/>
        </w:rPr>
      </w:pPr>
    </w:p>
    <w:p w14:paraId="4FE261AE" w14:textId="76957424" w:rsidR="00C43E6C" w:rsidRPr="00AE2899" w:rsidRDefault="00AE2899" w:rsidP="00AE2899">
      <w:pPr>
        <w:spacing w:before="240" w:after="5" w:line="360" w:lineRule="auto"/>
        <w:ind w:right="65"/>
        <w:jc w:val="both"/>
        <w:rPr>
          <w:rFonts w:asciiTheme="majorHAnsi" w:eastAsia="Arial" w:hAnsiTheme="majorHAnsi" w:cstheme="minorHAnsi"/>
          <w:sz w:val="24"/>
          <w:szCs w:val="24"/>
          <w:lang w:eastAsia="pt-PT"/>
        </w:rPr>
      </w:pPr>
      <w:r w:rsidRPr="00E55B52">
        <w:rPr>
          <w:rFonts w:ascii="Gill Sans MT" w:hAnsi="Gill Sans MT" w:cs="Arial"/>
          <w:bCs/>
        </w:rPr>
        <w:t>O crédito à economia cresceu</w:t>
      </w:r>
      <w:r w:rsidRPr="00E55B52" w:rsidDel="00EF53BA">
        <w:rPr>
          <w:rFonts w:ascii="Gill Sans MT" w:hAnsi="Gill Sans MT" w:cs="Arial"/>
          <w:bCs/>
        </w:rPr>
        <w:t xml:space="preserve"> </w:t>
      </w:r>
      <w:r w:rsidR="00321C7B">
        <w:rPr>
          <w:rFonts w:ascii="Gill Sans MT" w:hAnsi="Gill Sans MT" w:cs="Arial"/>
          <w:bCs/>
        </w:rPr>
        <w:t>4</w:t>
      </w:r>
      <w:r w:rsidRPr="00E55B52">
        <w:rPr>
          <w:rFonts w:ascii="Gill Sans MT" w:hAnsi="Gill Sans MT" w:cs="Arial"/>
          <w:bCs/>
        </w:rPr>
        <w:t>,</w:t>
      </w:r>
      <w:r w:rsidR="00321C7B">
        <w:rPr>
          <w:rFonts w:ascii="Gill Sans MT" w:hAnsi="Gill Sans MT" w:cs="Arial"/>
          <w:bCs/>
        </w:rPr>
        <w:t>8</w:t>
      </w:r>
      <w:r w:rsidR="00321C7B" w:rsidRPr="00E55B52">
        <w:rPr>
          <w:rFonts w:ascii="Gill Sans MT" w:hAnsi="Gill Sans MT" w:cs="Arial"/>
          <w:bCs/>
        </w:rPr>
        <w:t xml:space="preserve"> </w:t>
      </w:r>
      <w:r w:rsidRPr="00E55B52">
        <w:rPr>
          <w:rFonts w:ascii="Gill Sans MT" w:hAnsi="Gill Sans MT" w:cs="Arial"/>
          <w:bCs/>
        </w:rPr>
        <w:t xml:space="preserve">%, tendo particularmente o crédito ao setor privado crescido </w:t>
      </w:r>
      <w:r w:rsidR="00321C7B">
        <w:rPr>
          <w:rFonts w:ascii="Gill Sans MT" w:hAnsi="Gill Sans MT" w:cs="Arial"/>
          <w:bCs/>
        </w:rPr>
        <w:t>5</w:t>
      </w:r>
      <w:r w:rsidRPr="00E55B52">
        <w:rPr>
          <w:rFonts w:ascii="Gill Sans MT" w:hAnsi="Gill Sans MT" w:cs="Arial"/>
          <w:bCs/>
        </w:rPr>
        <w:t>,</w:t>
      </w:r>
      <w:r w:rsidR="00321C7B">
        <w:rPr>
          <w:rFonts w:ascii="Gill Sans MT" w:hAnsi="Gill Sans MT" w:cs="Arial"/>
          <w:bCs/>
        </w:rPr>
        <w:t>3</w:t>
      </w:r>
      <w:r w:rsidRPr="00E55B52">
        <w:rPr>
          <w:rFonts w:ascii="Gill Sans MT" w:hAnsi="Gill Sans MT" w:cs="Arial"/>
          <w:bCs/>
        </w:rPr>
        <w:t>%, refletindo a dinâmica da linha de crédito Covid-19</w:t>
      </w:r>
      <w:r>
        <w:rPr>
          <w:rFonts w:ascii="Gill Sans MT" w:hAnsi="Gill Sans MT" w:cs="Arial"/>
          <w:bCs/>
        </w:rPr>
        <w:t>, bem como o efeito</w:t>
      </w:r>
      <w:r w:rsidRPr="00E55B52">
        <w:rPr>
          <w:rFonts w:ascii="Gill Sans MT" w:hAnsi="Gill Sans MT" w:cs="Arial"/>
          <w:bCs/>
        </w:rPr>
        <w:t xml:space="preserve"> das moratórias</w:t>
      </w:r>
      <w:r w:rsidR="007E762C">
        <w:rPr>
          <w:rFonts w:ascii="Gill Sans MT" w:hAnsi="Gill Sans MT" w:cs="Arial"/>
          <w:bCs/>
        </w:rPr>
        <w:t xml:space="preserve"> de créditos como medida de mitigação dos efeitos da pandemia</w:t>
      </w:r>
      <w:r w:rsidRPr="00DF5F8A">
        <w:rPr>
          <w:rFonts w:ascii="Gill Sans MT" w:hAnsi="Gill Sans MT" w:cs="Arial"/>
          <w:bCs/>
        </w:rPr>
        <w:t>.</w:t>
      </w:r>
      <w:r>
        <w:rPr>
          <w:rFonts w:asciiTheme="majorHAnsi" w:eastAsia="Arial" w:hAnsiTheme="majorHAnsi" w:cstheme="minorHAnsi"/>
          <w:sz w:val="24"/>
          <w:szCs w:val="24"/>
          <w:lang w:eastAsia="pt-PT"/>
        </w:rPr>
        <w:t xml:space="preserve"> </w:t>
      </w:r>
      <w:r w:rsidRPr="00AE2899">
        <w:rPr>
          <w:rFonts w:ascii="Gill Sans MT" w:hAnsi="Gill Sans MT" w:cs="Arial"/>
          <w:bCs/>
        </w:rPr>
        <w:t xml:space="preserve">De realçar ainda que, no </w:t>
      </w:r>
      <w:r w:rsidR="007E762C">
        <w:rPr>
          <w:rFonts w:ascii="Gill Sans MT" w:hAnsi="Gill Sans MT" w:cs="Arial"/>
          <w:bCs/>
        </w:rPr>
        <w:t xml:space="preserve">âmbito do </w:t>
      </w:r>
      <w:r w:rsidRPr="00AE2899">
        <w:rPr>
          <w:rFonts w:ascii="Gill Sans MT" w:hAnsi="Gill Sans MT" w:cs="Arial"/>
          <w:bCs/>
        </w:rPr>
        <w:t xml:space="preserve">ecossistema de financiamento à economia, no </w:t>
      </w:r>
      <w:r w:rsidR="007E762C">
        <w:rPr>
          <w:rFonts w:ascii="Gill Sans MT" w:hAnsi="Gill Sans MT" w:cs="Arial"/>
          <w:bCs/>
        </w:rPr>
        <w:t>IV</w:t>
      </w:r>
      <w:r w:rsidR="007E762C" w:rsidRPr="00AE2899">
        <w:rPr>
          <w:rFonts w:ascii="Gill Sans MT" w:hAnsi="Gill Sans MT" w:cs="Arial"/>
          <w:bCs/>
        </w:rPr>
        <w:t xml:space="preserve"> </w:t>
      </w:r>
      <w:r w:rsidR="007E762C">
        <w:rPr>
          <w:rFonts w:ascii="Gill Sans MT" w:hAnsi="Gill Sans MT" w:cs="Arial"/>
          <w:bCs/>
        </w:rPr>
        <w:t>T</w:t>
      </w:r>
      <w:r w:rsidR="007E762C" w:rsidRPr="00AE2899">
        <w:rPr>
          <w:rFonts w:ascii="Gill Sans MT" w:hAnsi="Gill Sans MT" w:cs="Arial"/>
          <w:bCs/>
        </w:rPr>
        <w:t xml:space="preserve">rimestre </w:t>
      </w:r>
      <w:r w:rsidRPr="00AE2899">
        <w:rPr>
          <w:rFonts w:ascii="Gill Sans MT" w:hAnsi="Gill Sans MT" w:cs="Arial"/>
          <w:bCs/>
        </w:rPr>
        <w:t xml:space="preserve">foram concedidas às micro e pequenas empresas cerca de </w:t>
      </w:r>
      <w:r w:rsidR="00F66B0B" w:rsidRPr="00AE2899">
        <w:rPr>
          <w:rFonts w:ascii="Gill Sans MT" w:hAnsi="Gill Sans MT" w:cs="Arial"/>
          <w:bCs/>
        </w:rPr>
        <w:t>1</w:t>
      </w:r>
      <w:r w:rsidR="00F66B0B">
        <w:rPr>
          <w:rFonts w:ascii="Gill Sans MT" w:hAnsi="Gill Sans MT" w:cs="Arial"/>
          <w:bCs/>
        </w:rPr>
        <w:t>95</w:t>
      </w:r>
      <w:r w:rsidRPr="00AE2899">
        <w:rPr>
          <w:rFonts w:ascii="Gill Sans MT" w:hAnsi="Gill Sans MT" w:cs="Arial"/>
          <w:bCs/>
        </w:rPr>
        <w:t>,0 milhões de CVE, a uma taxa média de 7,</w:t>
      </w:r>
      <w:r w:rsidR="00F66B0B">
        <w:rPr>
          <w:rFonts w:ascii="Gill Sans MT" w:hAnsi="Gill Sans MT" w:cs="Arial"/>
          <w:bCs/>
        </w:rPr>
        <w:t>3</w:t>
      </w:r>
      <w:r w:rsidRPr="00AE2899">
        <w:rPr>
          <w:rFonts w:ascii="Gill Sans MT" w:hAnsi="Gill Sans MT" w:cs="Arial"/>
          <w:bCs/>
        </w:rPr>
        <w:t>%, destinados maioritariamente ao</w:t>
      </w:r>
      <w:r w:rsidR="00F66B0B">
        <w:rPr>
          <w:rFonts w:ascii="Gill Sans MT" w:hAnsi="Gill Sans MT" w:cs="Arial"/>
          <w:bCs/>
        </w:rPr>
        <w:t xml:space="preserve"> apoio aos</w:t>
      </w:r>
      <w:r w:rsidRPr="00AE2899">
        <w:rPr>
          <w:rFonts w:ascii="Gill Sans MT" w:hAnsi="Gill Sans MT" w:cs="Arial"/>
          <w:bCs/>
        </w:rPr>
        <w:t xml:space="preserve"> investimento</w:t>
      </w:r>
      <w:r w:rsidR="00F66B0B">
        <w:rPr>
          <w:rFonts w:ascii="Gill Sans MT" w:hAnsi="Gill Sans MT" w:cs="Arial"/>
          <w:bCs/>
        </w:rPr>
        <w:t>s</w:t>
      </w:r>
      <w:r w:rsidRPr="00AE2899">
        <w:rPr>
          <w:rFonts w:ascii="Gill Sans MT" w:hAnsi="Gill Sans MT" w:cs="Arial"/>
          <w:bCs/>
        </w:rPr>
        <w:t xml:space="preserve"> (+</w:t>
      </w:r>
      <w:r w:rsidR="00F66B0B" w:rsidRPr="00AE2899">
        <w:rPr>
          <w:rFonts w:ascii="Gill Sans MT" w:hAnsi="Gill Sans MT" w:cs="Arial"/>
          <w:bCs/>
        </w:rPr>
        <w:t>9</w:t>
      </w:r>
      <w:r w:rsidR="00F66B0B">
        <w:rPr>
          <w:rFonts w:ascii="Gill Sans MT" w:hAnsi="Gill Sans MT" w:cs="Arial"/>
          <w:bCs/>
        </w:rPr>
        <w:t>1</w:t>
      </w:r>
      <w:r w:rsidRPr="00AE2899">
        <w:rPr>
          <w:rFonts w:ascii="Gill Sans MT" w:hAnsi="Gill Sans MT" w:cs="Arial"/>
          <w:bCs/>
        </w:rPr>
        <w:t>,</w:t>
      </w:r>
      <w:r w:rsidR="00F66B0B">
        <w:rPr>
          <w:rFonts w:ascii="Gill Sans MT" w:hAnsi="Gill Sans MT" w:cs="Arial"/>
          <w:bCs/>
        </w:rPr>
        <w:t>9</w:t>
      </w:r>
      <w:r w:rsidRPr="00AE2899">
        <w:rPr>
          <w:rFonts w:ascii="Gill Sans MT" w:hAnsi="Gill Sans MT" w:cs="Arial"/>
          <w:bCs/>
        </w:rPr>
        <w:t>%)</w:t>
      </w:r>
      <w:r w:rsidR="00F66B0B">
        <w:rPr>
          <w:rFonts w:ascii="Gill Sans MT" w:hAnsi="Gill Sans MT" w:cs="Arial"/>
          <w:bCs/>
        </w:rPr>
        <w:t xml:space="preserve"> e ao programa “</w:t>
      </w:r>
      <w:proofErr w:type="spellStart"/>
      <w:r w:rsidR="00F66B0B">
        <w:rPr>
          <w:rFonts w:ascii="Gill Sans MT" w:hAnsi="Gill Sans MT" w:cs="Arial"/>
          <w:bCs/>
        </w:rPr>
        <w:t>Start</w:t>
      </w:r>
      <w:proofErr w:type="spellEnd"/>
      <w:r w:rsidR="00F66B0B">
        <w:rPr>
          <w:rFonts w:ascii="Gill Sans MT" w:hAnsi="Gill Sans MT" w:cs="Arial"/>
          <w:bCs/>
        </w:rPr>
        <w:t xml:space="preserve"> </w:t>
      </w:r>
      <w:proofErr w:type="spellStart"/>
      <w:r w:rsidR="00F66B0B">
        <w:rPr>
          <w:rFonts w:ascii="Gill Sans MT" w:hAnsi="Gill Sans MT" w:cs="Arial"/>
          <w:bCs/>
        </w:rPr>
        <w:t>Up</w:t>
      </w:r>
      <w:proofErr w:type="spellEnd"/>
      <w:r w:rsidR="00F66B0B">
        <w:rPr>
          <w:rFonts w:ascii="Gill Sans MT" w:hAnsi="Gill Sans MT" w:cs="Arial"/>
          <w:bCs/>
        </w:rPr>
        <w:t xml:space="preserve"> Jovem” (+6,4%)</w:t>
      </w:r>
      <w:r w:rsidRPr="00AE2899">
        <w:rPr>
          <w:rFonts w:ascii="Gill Sans MT" w:hAnsi="Gill Sans MT" w:cs="Arial"/>
          <w:bCs/>
        </w:rPr>
        <w:t>.</w:t>
      </w:r>
    </w:p>
    <w:p w14:paraId="5BF99B0D" w14:textId="0CDA523B" w:rsidR="006E1B2E" w:rsidRPr="00B30CE8" w:rsidRDefault="00381890" w:rsidP="00381890">
      <w:pPr>
        <w:spacing w:before="240" w:after="5" w:line="360" w:lineRule="auto"/>
        <w:ind w:left="10" w:right="65" w:hanging="10"/>
        <w:jc w:val="both"/>
        <w:rPr>
          <w:rFonts w:ascii="Gill Sans MT" w:hAnsi="Gill Sans MT" w:cs="Arial"/>
          <w:bCs/>
        </w:rPr>
      </w:pPr>
      <w:r w:rsidRPr="00381890">
        <w:rPr>
          <w:rFonts w:ascii="Gill Sans MT" w:hAnsi="Gill Sans MT" w:cs="Arial"/>
          <w:bCs/>
        </w:rPr>
        <w:t>Em termos de componentes, a expansão da oferta monetária foi, determinada pelo</w:t>
      </w:r>
      <w:r>
        <w:rPr>
          <w:rFonts w:ascii="Gill Sans MT" w:hAnsi="Gill Sans MT" w:cs="Arial"/>
          <w:bCs/>
        </w:rPr>
        <w:t xml:space="preserve"> aumento</w:t>
      </w:r>
      <w:r w:rsidRPr="00381890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dos</w:t>
      </w:r>
      <w:r w:rsidR="006030DB" w:rsidRPr="00EB20B7">
        <w:rPr>
          <w:rFonts w:ascii="Gill Sans MT" w:hAnsi="Gill Sans MT" w:cs="Arial"/>
          <w:bCs/>
        </w:rPr>
        <w:t xml:space="preserve"> passivos monetários </w:t>
      </w:r>
      <w:r>
        <w:rPr>
          <w:rFonts w:ascii="Gill Sans MT" w:hAnsi="Gill Sans MT" w:cs="Arial"/>
          <w:bCs/>
        </w:rPr>
        <w:t>em</w:t>
      </w:r>
      <w:r w:rsidRPr="00EB20B7">
        <w:rPr>
          <w:rFonts w:ascii="Gill Sans MT" w:hAnsi="Gill Sans MT" w:cs="Arial"/>
          <w:bCs/>
        </w:rPr>
        <w:t xml:space="preserve"> </w:t>
      </w:r>
      <w:r w:rsidR="00A5458D">
        <w:rPr>
          <w:rFonts w:ascii="Gill Sans MT" w:hAnsi="Gill Sans MT" w:cs="Arial"/>
          <w:bCs/>
        </w:rPr>
        <w:t>6</w:t>
      </w:r>
      <w:r w:rsidR="006030DB" w:rsidRPr="00EB20B7">
        <w:rPr>
          <w:rFonts w:ascii="Gill Sans MT" w:hAnsi="Gill Sans MT" w:cs="Arial"/>
          <w:bCs/>
        </w:rPr>
        <w:t>,</w:t>
      </w:r>
      <w:r w:rsidR="00A5458D">
        <w:rPr>
          <w:rFonts w:ascii="Gill Sans MT" w:hAnsi="Gill Sans MT" w:cs="Arial"/>
          <w:bCs/>
        </w:rPr>
        <w:t>8</w:t>
      </w:r>
      <w:r w:rsidR="006030DB" w:rsidRPr="00EB20B7">
        <w:rPr>
          <w:rFonts w:ascii="Gill Sans MT" w:hAnsi="Gill Sans MT" w:cs="Arial"/>
          <w:bCs/>
        </w:rPr>
        <w:t>%</w:t>
      </w:r>
      <w:r w:rsidR="00492F2E" w:rsidRPr="00EB20B7">
        <w:rPr>
          <w:rFonts w:ascii="Gill Sans MT" w:hAnsi="Gill Sans MT" w:cs="Arial"/>
          <w:bCs/>
        </w:rPr>
        <w:t xml:space="preserve">, </w:t>
      </w:r>
      <w:r w:rsidR="0097779A">
        <w:rPr>
          <w:rFonts w:ascii="Gill Sans MT" w:hAnsi="Gill Sans MT" w:cs="Arial"/>
          <w:bCs/>
        </w:rPr>
        <w:t xml:space="preserve">sobretudo </w:t>
      </w:r>
      <w:r w:rsidR="006030DB" w:rsidRPr="00EB20B7">
        <w:rPr>
          <w:rFonts w:ascii="Gill Sans MT" w:hAnsi="Gill Sans MT" w:cs="Arial"/>
          <w:bCs/>
        </w:rPr>
        <w:t>devido ao aumento</w:t>
      </w:r>
      <w:r w:rsidR="00A5458D">
        <w:rPr>
          <w:rFonts w:ascii="Gill Sans MT" w:hAnsi="Gill Sans MT" w:cs="Arial"/>
          <w:bCs/>
        </w:rPr>
        <w:t xml:space="preserve"> </w:t>
      </w:r>
      <w:r w:rsidR="00564EE2">
        <w:rPr>
          <w:rFonts w:ascii="Gill Sans MT" w:hAnsi="Gill Sans MT" w:cs="Arial"/>
          <w:bCs/>
        </w:rPr>
        <w:t>depósitos a ordem em moeda nacional (+6,2%) e</w:t>
      </w:r>
      <w:r w:rsidR="00492F2E" w:rsidRPr="00EB20B7">
        <w:rPr>
          <w:rFonts w:ascii="Gill Sans MT" w:hAnsi="Gill Sans MT" w:cs="Arial"/>
          <w:bCs/>
        </w:rPr>
        <w:t xml:space="preserve"> </w:t>
      </w:r>
      <w:r w:rsidR="00A5458D">
        <w:rPr>
          <w:rFonts w:ascii="Gill Sans MT" w:hAnsi="Gill Sans MT" w:cs="Arial"/>
          <w:bCs/>
        </w:rPr>
        <w:t>da moeda em circulação</w:t>
      </w:r>
      <w:r w:rsidR="00492F2E" w:rsidRPr="00EB20B7">
        <w:rPr>
          <w:rFonts w:ascii="Gill Sans MT" w:hAnsi="Gill Sans MT" w:cs="Arial"/>
          <w:bCs/>
        </w:rPr>
        <w:t xml:space="preserve"> (+</w:t>
      </w:r>
      <w:r w:rsidR="00A5458D">
        <w:rPr>
          <w:rFonts w:ascii="Gill Sans MT" w:hAnsi="Gill Sans MT" w:cs="Arial"/>
          <w:bCs/>
        </w:rPr>
        <w:t>11</w:t>
      </w:r>
      <w:r w:rsidR="00492F2E" w:rsidRPr="00EB20B7">
        <w:rPr>
          <w:rFonts w:ascii="Gill Sans MT" w:hAnsi="Gill Sans MT" w:cs="Arial"/>
          <w:bCs/>
        </w:rPr>
        <w:t>,</w:t>
      </w:r>
      <w:r w:rsidR="00A5458D">
        <w:rPr>
          <w:rFonts w:ascii="Gill Sans MT" w:hAnsi="Gill Sans MT" w:cs="Arial"/>
          <w:bCs/>
        </w:rPr>
        <w:t>4</w:t>
      </w:r>
      <w:r w:rsidR="00492F2E" w:rsidRPr="00EB20B7">
        <w:rPr>
          <w:rFonts w:ascii="Gill Sans MT" w:hAnsi="Gill Sans MT" w:cs="Arial"/>
          <w:bCs/>
        </w:rPr>
        <w:t>%)</w:t>
      </w:r>
      <w:r w:rsidR="00564EE2">
        <w:rPr>
          <w:rFonts w:ascii="Gill Sans MT" w:hAnsi="Gill Sans MT" w:cs="Arial"/>
          <w:bCs/>
        </w:rPr>
        <w:t xml:space="preserve">. Do lado dos </w:t>
      </w:r>
      <w:r w:rsidR="006030DB" w:rsidRPr="00EB20B7">
        <w:rPr>
          <w:rFonts w:ascii="Gill Sans MT" w:hAnsi="Gill Sans MT" w:cs="Arial"/>
          <w:bCs/>
        </w:rPr>
        <w:t xml:space="preserve">passivos quase-monetários </w:t>
      </w:r>
      <w:r w:rsidR="00564EE2">
        <w:rPr>
          <w:rFonts w:ascii="Gill Sans MT" w:hAnsi="Gill Sans MT" w:cs="Arial"/>
          <w:bCs/>
        </w:rPr>
        <w:t>(</w:t>
      </w:r>
      <w:r w:rsidR="00B828DB">
        <w:rPr>
          <w:rFonts w:ascii="Gill Sans MT" w:hAnsi="Gill Sans MT" w:cs="Arial"/>
          <w:bCs/>
        </w:rPr>
        <w:t>2</w:t>
      </w:r>
      <w:r w:rsidR="00040704" w:rsidRPr="00EB20B7">
        <w:rPr>
          <w:rFonts w:ascii="Gill Sans MT" w:hAnsi="Gill Sans MT" w:cs="Arial"/>
          <w:bCs/>
        </w:rPr>
        <w:t>,</w:t>
      </w:r>
      <w:r w:rsidR="00B828DB">
        <w:rPr>
          <w:rFonts w:ascii="Gill Sans MT" w:hAnsi="Gill Sans MT" w:cs="Arial"/>
          <w:bCs/>
        </w:rPr>
        <w:t>0</w:t>
      </w:r>
      <w:r w:rsidR="006030DB" w:rsidRPr="00EB20B7">
        <w:rPr>
          <w:rFonts w:ascii="Gill Sans MT" w:hAnsi="Gill Sans MT" w:cs="Arial"/>
          <w:bCs/>
        </w:rPr>
        <w:t>%</w:t>
      </w:r>
      <w:r w:rsidR="00564EE2">
        <w:rPr>
          <w:rFonts w:ascii="Gill Sans MT" w:hAnsi="Gill Sans MT" w:cs="Arial"/>
          <w:bCs/>
        </w:rPr>
        <w:t xml:space="preserve">), destaca o contributo </w:t>
      </w:r>
      <w:r w:rsidR="002D4FB5">
        <w:rPr>
          <w:rFonts w:ascii="Gill Sans MT" w:hAnsi="Gill Sans MT" w:cs="Arial"/>
          <w:bCs/>
        </w:rPr>
        <w:t>dos</w:t>
      </w:r>
      <w:r w:rsidR="00506E42">
        <w:rPr>
          <w:rFonts w:ascii="Gill Sans MT" w:hAnsi="Gill Sans MT" w:cs="Arial"/>
          <w:bCs/>
        </w:rPr>
        <w:t xml:space="preserve"> aumentos</w:t>
      </w:r>
      <w:r w:rsidR="00B30CE8">
        <w:rPr>
          <w:rFonts w:ascii="Gill Sans MT" w:hAnsi="Gill Sans MT" w:cs="Arial"/>
          <w:bCs/>
        </w:rPr>
        <w:t xml:space="preserve"> registado</w:t>
      </w:r>
      <w:r w:rsidR="00EB20B7" w:rsidRPr="00EB20B7">
        <w:rPr>
          <w:rFonts w:ascii="Gill Sans MT" w:hAnsi="Gill Sans MT" w:cs="Arial"/>
          <w:bCs/>
        </w:rPr>
        <w:t xml:space="preserve">s nos </w:t>
      </w:r>
      <w:r w:rsidR="00564EE2">
        <w:rPr>
          <w:rFonts w:ascii="Gill Sans MT" w:hAnsi="Gill Sans MT" w:cs="Arial"/>
          <w:bCs/>
        </w:rPr>
        <w:t>depósitos a prazo em moeda n</w:t>
      </w:r>
      <w:r w:rsidR="00564EE2" w:rsidRPr="00564EE2">
        <w:rPr>
          <w:rFonts w:ascii="Gill Sans MT" w:hAnsi="Gill Sans MT" w:cs="Arial"/>
          <w:bCs/>
        </w:rPr>
        <w:t>acional</w:t>
      </w:r>
      <w:r w:rsidR="00564EE2">
        <w:rPr>
          <w:rFonts w:ascii="Gill Sans MT" w:hAnsi="Gill Sans MT" w:cs="Arial"/>
          <w:bCs/>
        </w:rPr>
        <w:t xml:space="preserve"> (+4,3%), seguida do aumento dos </w:t>
      </w:r>
      <w:r w:rsidR="00EB20B7" w:rsidRPr="00EB20B7">
        <w:rPr>
          <w:rFonts w:ascii="Gill Sans MT" w:hAnsi="Gill Sans MT" w:cs="Arial"/>
          <w:bCs/>
        </w:rPr>
        <w:t xml:space="preserve">depósitos </w:t>
      </w:r>
      <w:r w:rsidR="00B828DB">
        <w:rPr>
          <w:rFonts w:ascii="Gill Sans MT" w:hAnsi="Gill Sans MT" w:cs="Arial"/>
          <w:bCs/>
        </w:rPr>
        <w:t>de poupança</w:t>
      </w:r>
      <w:r w:rsidR="00EB20B7" w:rsidRPr="00EB20B7">
        <w:rPr>
          <w:rFonts w:ascii="Gill Sans MT" w:hAnsi="Gill Sans MT" w:cs="Arial"/>
          <w:bCs/>
        </w:rPr>
        <w:t xml:space="preserve"> (+</w:t>
      </w:r>
      <w:r w:rsidR="00B828DB">
        <w:rPr>
          <w:rFonts w:ascii="Gill Sans MT" w:hAnsi="Gill Sans MT" w:cs="Arial"/>
          <w:bCs/>
        </w:rPr>
        <w:t>11</w:t>
      </w:r>
      <w:r w:rsidR="00EB20B7" w:rsidRPr="00EB20B7">
        <w:rPr>
          <w:rFonts w:ascii="Gill Sans MT" w:hAnsi="Gill Sans MT" w:cs="Arial"/>
          <w:bCs/>
        </w:rPr>
        <w:t>,</w:t>
      </w:r>
      <w:r w:rsidR="00B828DB">
        <w:rPr>
          <w:rFonts w:ascii="Gill Sans MT" w:hAnsi="Gill Sans MT" w:cs="Arial"/>
          <w:bCs/>
        </w:rPr>
        <w:t>4</w:t>
      </w:r>
      <w:r w:rsidR="00554684" w:rsidRPr="00EB20B7">
        <w:rPr>
          <w:rFonts w:ascii="Gill Sans MT" w:hAnsi="Gill Sans MT" w:cs="Arial"/>
          <w:bCs/>
        </w:rPr>
        <w:t>%).</w:t>
      </w:r>
    </w:p>
    <w:p w14:paraId="560A732A" w14:textId="77777777" w:rsidR="00C36DF1" w:rsidRDefault="00C36DF1" w:rsidP="006E1B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48BF916F" w14:textId="77777777" w:rsidR="00C36DF1" w:rsidRDefault="00C36DF1" w:rsidP="006E1B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273F7E77" w14:textId="77777777" w:rsidR="00C36DF1" w:rsidRDefault="00C36DF1" w:rsidP="006E1B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637C5544" w14:textId="77777777" w:rsidR="00C36DF1" w:rsidRDefault="00C36DF1" w:rsidP="006E1B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39B201EE" w14:textId="77777777" w:rsidR="00C36DF1" w:rsidRDefault="00C36DF1" w:rsidP="006E1B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</w:p>
    <w:p w14:paraId="11BE2096" w14:textId="6EAB38E1" w:rsidR="006E1B2E" w:rsidRDefault="006E1B2E" w:rsidP="006E1B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</w:rPr>
      </w:pPr>
      <w:r w:rsidRPr="00E978AD">
        <w:rPr>
          <w:rFonts w:ascii="Gill Sans MT" w:eastAsia="Calibri" w:hAnsi="Gill Sans MT" w:cs="Times New Roman"/>
          <w:b/>
          <w:bCs/>
        </w:rPr>
        <w:lastRenderedPageBreak/>
        <w:t>Gráfico1</w:t>
      </w:r>
      <w:r w:rsidR="00105A2D">
        <w:rPr>
          <w:rFonts w:ascii="Gill Sans MT" w:eastAsia="Calibri" w:hAnsi="Gill Sans MT" w:cs="Times New Roman"/>
          <w:b/>
          <w:bCs/>
        </w:rPr>
        <w:t>7</w:t>
      </w:r>
      <w:r w:rsidRPr="00E978AD">
        <w:rPr>
          <w:rFonts w:ascii="Gill Sans MT" w:eastAsia="Calibri" w:hAnsi="Gill Sans MT" w:cs="Times New Roman"/>
          <w:b/>
          <w:bCs/>
        </w:rPr>
        <w:t>: Evolução das Taxas de Juros Ativas e Passivas</w:t>
      </w:r>
    </w:p>
    <w:p w14:paraId="45F4CC52" w14:textId="15BD9974" w:rsidR="006E1B2E" w:rsidRDefault="00E06A1E" w:rsidP="006E1B2E">
      <w:pPr>
        <w:spacing w:after="0" w:line="360" w:lineRule="auto"/>
        <w:jc w:val="center"/>
        <w:rPr>
          <w:rFonts w:ascii="Gill Sans MT" w:hAnsi="Gill Sans MT" w:cs="Arial"/>
          <w:bCs/>
        </w:rPr>
      </w:pPr>
      <w:r w:rsidRPr="00E06A1E">
        <w:rPr>
          <w:noProof/>
          <w:lang w:eastAsia="pt-PT"/>
        </w:rPr>
        <w:drawing>
          <wp:inline distT="0" distB="0" distL="0" distR="0" wp14:anchorId="5229D41C" wp14:editId="5179A08D">
            <wp:extent cx="4067175" cy="2436978"/>
            <wp:effectExtent l="0" t="0" r="0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27" cy="243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379C" w14:textId="77777777" w:rsidR="006E1B2E" w:rsidRDefault="006E1B2E" w:rsidP="006E1B2E">
      <w:pPr>
        <w:spacing w:after="0" w:line="360" w:lineRule="auto"/>
        <w:jc w:val="center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 xml:space="preserve">Fonte: </w:t>
      </w:r>
      <w:r w:rsidRPr="00C11C83">
        <w:rPr>
          <w:rFonts w:ascii="Gill Sans MT" w:hAnsi="Gill Sans MT" w:cs="Arial"/>
          <w:bCs/>
          <w:sz w:val="18"/>
          <w:szCs w:val="18"/>
        </w:rPr>
        <w:t>Banco de Cabo Verde</w:t>
      </w:r>
      <w:r>
        <w:rPr>
          <w:rFonts w:ascii="Gill Sans MT" w:hAnsi="Gill Sans MT" w:cs="Arial"/>
          <w:bCs/>
          <w:sz w:val="18"/>
          <w:szCs w:val="18"/>
        </w:rPr>
        <w:t>.</w:t>
      </w:r>
    </w:p>
    <w:p w14:paraId="09154300" w14:textId="77777777" w:rsidR="006E1B2E" w:rsidRDefault="006E1B2E" w:rsidP="006E1B2E">
      <w:pPr>
        <w:spacing w:line="360" w:lineRule="auto"/>
        <w:jc w:val="both"/>
        <w:rPr>
          <w:rFonts w:ascii="Gill Sans MT" w:hAnsi="Gill Sans MT" w:cs="Arial"/>
          <w:bCs/>
        </w:rPr>
      </w:pPr>
    </w:p>
    <w:p w14:paraId="0FB81CFC" w14:textId="7343446C" w:rsidR="006E1B2E" w:rsidRPr="00EE4B2D" w:rsidRDefault="006E1B2E" w:rsidP="006E1B2E">
      <w:pPr>
        <w:spacing w:line="360" w:lineRule="auto"/>
        <w:jc w:val="both"/>
        <w:rPr>
          <w:rFonts w:ascii="Gill Sans MT" w:hAnsi="Gill Sans MT" w:cs="Arial"/>
          <w:bCs/>
        </w:rPr>
      </w:pPr>
      <w:r w:rsidRPr="00EE4B2D">
        <w:rPr>
          <w:rFonts w:ascii="Gill Sans MT" w:hAnsi="Gill Sans MT" w:cs="Arial"/>
          <w:bCs/>
        </w:rPr>
        <w:t xml:space="preserve">A taxa de juro média efetiva aplicada nos empréstimos bancários </w:t>
      </w:r>
      <w:r w:rsidR="00193512">
        <w:rPr>
          <w:rFonts w:ascii="Gill Sans MT" w:hAnsi="Gill Sans MT" w:cs="Arial"/>
          <w:bCs/>
        </w:rPr>
        <w:t>em dezembro de</w:t>
      </w:r>
      <w:r w:rsidRPr="00EE4B2D">
        <w:rPr>
          <w:rFonts w:ascii="Gill Sans MT" w:hAnsi="Gill Sans MT" w:cs="Arial"/>
          <w:bCs/>
        </w:rPr>
        <w:t xml:space="preserve"> 2020 situou-se em </w:t>
      </w:r>
      <w:r w:rsidR="00E06A1E">
        <w:rPr>
          <w:rFonts w:ascii="Gill Sans MT" w:hAnsi="Gill Sans MT" w:cs="Arial"/>
          <w:bCs/>
        </w:rPr>
        <w:t>9</w:t>
      </w:r>
      <w:r w:rsidRPr="00EE4B2D">
        <w:rPr>
          <w:rFonts w:ascii="Gill Sans MT" w:hAnsi="Gill Sans MT" w:cs="Arial"/>
          <w:bCs/>
        </w:rPr>
        <w:t>,</w:t>
      </w:r>
      <w:r w:rsidR="00E06A1E">
        <w:rPr>
          <w:rFonts w:ascii="Gill Sans MT" w:hAnsi="Gill Sans MT" w:cs="Arial"/>
          <w:bCs/>
        </w:rPr>
        <w:t>8</w:t>
      </w:r>
      <w:r w:rsidRPr="00EE4B2D">
        <w:rPr>
          <w:rFonts w:ascii="Gill Sans MT" w:hAnsi="Gill Sans MT" w:cs="Arial"/>
          <w:bCs/>
        </w:rPr>
        <w:t xml:space="preserve">%, valor </w:t>
      </w:r>
      <w:r w:rsidR="00E06A1E">
        <w:rPr>
          <w:rFonts w:ascii="Gill Sans MT" w:hAnsi="Gill Sans MT" w:cs="Arial"/>
          <w:bCs/>
        </w:rPr>
        <w:t>inf</w:t>
      </w:r>
      <w:r w:rsidR="00E06A1E" w:rsidRPr="00EE4B2D">
        <w:rPr>
          <w:rFonts w:ascii="Gill Sans MT" w:hAnsi="Gill Sans MT" w:cs="Arial"/>
          <w:bCs/>
        </w:rPr>
        <w:t xml:space="preserve">erior </w:t>
      </w:r>
      <w:r w:rsidRPr="00EE4B2D">
        <w:rPr>
          <w:rFonts w:ascii="Gill Sans MT" w:hAnsi="Gill Sans MT" w:cs="Arial"/>
          <w:bCs/>
        </w:rPr>
        <w:t xml:space="preserve">em </w:t>
      </w:r>
      <w:r w:rsidR="00BC13A8">
        <w:rPr>
          <w:rFonts w:ascii="Gill Sans MT" w:hAnsi="Gill Sans MT" w:cs="Arial"/>
          <w:bCs/>
        </w:rPr>
        <w:t>0</w:t>
      </w:r>
      <w:r w:rsidRPr="00EE4B2D">
        <w:rPr>
          <w:rFonts w:ascii="Gill Sans MT" w:hAnsi="Gill Sans MT" w:cs="Arial"/>
          <w:bCs/>
        </w:rPr>
        <w:t>,</w:t>
      </w:r>
      <w:r w:rsidR="00E06A1E">
        <w:rPr>
          <w:rFonts w:ascii="Gill Sans MT" w:hAnsi="Gill Sans MT" w:cs="Arial"/>
          <w:bCs/>
        </w:rPr>
        <w:t>6</w:t>
      </w:r>
      <w:r w:rsidR="00E06A1E" w:rsidRPr="00EE4B2D">
        <w:rPr>
          <w:rFonts w:ascii="Gill Sans MT" w:hAnsi="Gill Sans MT" w:cs="Arial"/>
          <w:bCs/>
        </w:rPr>
        <w:t xml:space="preserve"> </w:t>
      </w:r>
      <w:r w:rsidRPr="00EE4B2D">
        <w:rPr>
          <w:rFonts w:ascii="Gill Sans MT" w:hAnsi="Gill Sans MT" w:cs="Arial"/>
          <w:bCs/>
        </w:rPr>
        <w:t xml:space="preserve">p.p., face ao registado no período homólogo de 2019. </w:t>
      </w:r>
      <w:r w:rsidR="00EE4B2D" w:rsidRPr="00EE4B2D">
        <w:rPr>
          <w:rFonts w:ascii="Gill Sans MT" w:hAnsi="Gill Sans MT" w:cs="Arial"/>
          <w:bCs/>
        </w:rPr>
        <w:t>Já a</w:t>
      </w:r>
      <w:r w:rsidRPr="00EE4B2D">
        <w:rPr>
          <w:rFonts w:ascii="Gill Sans MT" w:hAnsi="Gill Sans MT" w:cs="Arial"/>
          <w:bCs/>
        </w:rPr>
        <w:t>s taxas de juros passivas</w:t>
      </w:r>
      <w:r w:rsidR="00EE4B2D" w:rsidRPr="00EE4B2D">
        <w:rPr>
          <w:rFonts w:ascii="Gill Sans MT" w:hAnsi="Gill Sans MT" w:cs="Arial"/>
          <w:bCs/>
        </w:rPr>
        <w:t xml:space="preserve"> aplicados nos depósitos a prazo</w:t>
      </w:r>
      <w:r w:rsidRPr="00EE4B2D">
        <w:rPr>
          <w:rFonts w:ascii="Gill Sans MT" w:hAnsi="Gill Sans MT" w:cs="Arial"/>
          <w:bCs/>
        </w:rPr>
        <w:t xml:space="preserve"> </w:t>
      </w:r>
      <w:r w:rsidR="00EE4B2D" w:rsidRPr="00EE4B2D">
        <w:rPr>
          <w:rFonts w:ascii="Gill Sans MT" w:hAnsi="Gill Sans MT" w:cs="Arial"/>
          <w:bCs/>
        </w:rPr>
        <w:t>situaram</w:t>
      </w:r>
      <w:r w:rsidRPr="00EE4B2D">
        <w:rPr>
          <w:rFonts w:ascii="Gill Sans MT" w:hAnsi="Gill Sans MT" w:cs="Arial"/>
          <w:bCs/>
        </w:rPr>
        <w:t>-se em 1,</w:t>
      </w:r>
      <w:r w:rsidR="00EE273D">
        <w:rPr>
          <w:rFonts w:ascii="Gill Sans MT" w:hAnsi="Gill Sans MT" w:cs="Arial"/>
          <w:bCs/>
        </w:rPr>
        <w:t>2</w:t>
      </w:r>
      <w:r w:rsidRPr="00EE4B2D">
        <w:rPr>
          <w:rFonts w:ascii="Gill Sans MT" w:hAnsi="Gill Sans MT" w:cs="Arial"/>
          <w:bCs/>
        </w:rPr>
        <w:t>%</w:t>
      </w:r>
      <w:r w:rsidR="00EE4B2D" w:rsidRPr="00EE4B2D">
        <w:rPr>
          <w:rFonts w:ascii="Gill Sans MT" w:hAnsi="Gill Sans MT" w:cs="Arial"/>
          <w:bCs/>
        </w:rPr>
        <w:t xml:space="preserve">, </w:t>
      </w:r>
      <w:r w:rsidR="00EE273D">
        <w:rPr>
          <w:rFonts w:ascii="Gill Sans MT" w:hAnsi="Gill Sans MT" w:cs="Arial"/>
          <w:bCs/>
        </w:rPr>
        <w:t>reduzindo</w:t>
      </w:r>
      <w:r w:rsidR="00EE4B2D" w:rsidRPr="00EE4B2D">
        <w:rPr>
          <w:rFonts w:ascii="Gill Sans MT" w:hAnsi="Gill Sans MT" w:cs="Arial"/>
          <w:bCs/>
        </w:rPr>
        <w:t xml:space="preserve"> 0,</w:t>
      </w:r>
      <w:r w:rsidR="00EE273D">
        <w:rPr>
          <w:rFonts w:ascii="Gill Sans MT" w:hAnsi="Gill Sans MT" w:cs="Arial"/>
          <w:bCs/>
        </w:rPr>
        <w:t>5</w:t>
      </w:r>
      <w:r w:rsidR="00EE4B2D" w:rsidRPr="00EE4B2D">
        <w:rPr>
          <w:rFonts w:ascii="Gill Sans MT" w:hAnsi="Gill Sans MT" w:cs="Arial"/>
          <w:bCs/>
        </w:rPr>
        <w:t xml:space="preserve"> p.p., </w:t>
      </w:r>
      <w:r w:rsidR="00EE273D">
        <w:rPr>
          <w:rFonts w:ascii="Gill Sans MT" w:hAnsi="Gill Sans MT" w:cs="Arial"/>
          <w:bCs/>
        </w:rPr>
        <w:t>face</w:t>
      </w:r>
      <w:r w:rsidR="007735C0">
        <w:rPr>
          <w:rFonts w:ascii="Gill Sans MT" w:hAnsi="Gill Sans MT" w:cs="Arial"/>
          <w:bCs/>
        </w:rPr>
        <w:t xml:space="preserve"> </w:t>
      </w:r>
      <w:r w:rsidR="00EE4B2D" w:rsidRPr="00EE4B2D">
        <w:rPr>
          <w:rFonts w:ascii="Gill Sans MT" w:hAnsi="Gill Sans MT" w:cs="Arial"/>
          <w:bCs/>
        </w:rPr>
        <w:t>ao registado no mesmo período do ano anterior</w:t>
      </w:r>
      <w:r w:rsidR="00F84BCA">
        <w:rPr>
          <w:rFonts w:ascii="Gill Sans MT" w:hAnsi="Gill Sans MT" w:cs="Arial"/>
          <w:bCs/>
        </w:rPr>
        <w:t>, afetando positivamente a rentabilidade do sistema bancário</w:t>
      </w:r>
      <w:r w:rsidRPr="00EE4B2D">
        <w:rPr>
          <w:rFonts w:ascii="Gill Sans MT" w:hAnsi="Gill Sans MT" w:cs="Arial"/>
          <w:bCs/>
        </w:rPr>
        <w:t xml:space="preserve">. </w:t>
      </w:r>
    </w:p>
    <w:p w14:paraId="714E436E" w14:textId="77777777" w:rsidR="006E1B2E" w:rsidRPr="00400158" w:rsidRDefault="006E1B2E" w:rsidP="00EC0458">
      <w:pPr>
        <w:spacing w:after="0" w:line="360" w:lineRule="auto"/>
        <w:jc w:val="both"/>
        <w:rPr>
          <w:rFonts w:ascii="Gill Sans MT" w:hAnsi="Gill Sans MT" w:cs="Arial"/>
          <w:bCs/>
          <w:color w:val="FF0000"/>
        </w:rPr>
      </w:pPr>
    </w:p>
    <w:p w14:paraId="6862D128" w14:textId="04930921" w:rsidR="00751BFD" w:rsidRDefault="00751BFD" w:rsidP="00EC0458">
      <w:pPr>
        <w:spacing w:after="0" w:line="360" w:lineRule="auto"/>
        <w:jc w:val="both"/>
        <w:rPr>
          <w:rFonts w:ascii="Gill Sans MT" w:hAnsi="Gill Sans MT" w:cs="Arial"/>
          <w:bCs/>
        </w:rPr>
      </w:pPr>
    </w:p>
    <w:sectPr w:rsidR="00751BFD" w:rsidSect="005610C6">
      <w:footerReference w:type="default" r:id="rId36"/>
      <w:headerReference w:type="first" r:id="rId37"/>
      <w:footerReference w:type="first" r:id="rId38"/>
      <w:pgSz w:w="11906" w:h="16838"/>
      <w:pgMar w:top="1418" w:right="1274" w:bottom="1418" w:left="1843" w:header="709" w:footer="709" w:gutter="0"/>
      <w:pgNumType w:fmt="numberInDash" w:start="2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F / DNP / Director Nacional - Gilson Gomes Pina" w:date="2021-05-17T14:05:00Z" w:initials="M/D/DN-GG">
    <w:p w14:paraId="4734DECC" w14:textId="6C33D9CC" w:rsidR="00C8224F" w:rsidRDefault="00C8224F">
      <w:pPr>
        <w:pStyle w:val="Textodecomentrio"/>
      </w:pPr>
      <w:r>
        <w:rPr>
          <w:rStyle w:val="Refdecomentrio"/>
        </w:rPr>
        <w:annotationRef/>
      </w:r>
      <w:r>
        <w:t>Vejam estas traduções a amarelo.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34DE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34DECC" w16cid:durableId="24999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1144" w14:textId="77777777" w:rsidR="000F69C2" w:rsidRDefault="000F69C2" w:rsidP="00CF013F">
      <w:pPr>
        <w:spacing w:after="0" w:line="240" w:lineRule="auto"/>
      </w:pPr>
      <w:r>
        <w:separator/>
      </w:r>
    </w:p>
  </w:endnote>
  <w:endnote w:type="continuationSeparator" w:id="0">
    <w:p w14:paraId="1E5CD4F5" w14:textId="77777777" w:rsidR="000F69C2" w:rsidRDefault="000F69C2" w:rsidP="00CF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A886" w14:textId="77777777" w:rsidR="0056668D" w:rsidRPr="00AF1A1D" w:rsidRDefault="0056668D">
    <w:pPr>
      <w:pStyle w:val="Rodap"/>
      <w:jc w:val="right"/>
    </w:pPr>
  </w:p>
  <w:p w14:paraId="28DD249A" w14:textId="77777777" w:rsidR="0056668D" w:rsidRPr="00AF1A1D" w:rsidRDefault="00566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18B1" w14:textId="77777777" w:rsidR="0056668D" w:rsidRPr="00AF1A1D" w:rsidRDefault="0056668D" w:rsidP="00AF1A1D">
    <w:pPr>
      <w:pStyle w:val="Rodap"/>
      <w:tabs>
        <w:tab w:val="clear" w:pos="4252"/>
        <w:tab w:val="clear" w:pos="8504"/>
        <w:tab w:val="left" w:pos="736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239969"/>
      <w:docPartObj>
        <w:docPartGallery w:val="Page Numbers (Bottom of Page)"/>
        <w:docPartUnique/>
      </w:docPartObj>
    </w:sdtPr>
    <w:sdtEndPr/>
    <w:sdtContent>
      <w:p w14:paraId="0777953B" w14:textId="50C222C1" w:rsidR="0056668D" w:rsidRDefault="005666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3A">
          <w:rPr>
            <w:noProof/>
          </w:rPr>
          <w:t>- 10 -</w:t>
        </w:r>
        <w:r>
          <w:fldChar w:fldCharType="end"/>
        </w:r>
      </w:p>
    </w:sdtContent>
  </w:sdt>
  <w:p w14:paraId="11A4A9BD" w14:textId="77777777" w:rsidR="0056668D" w:rsidRPr="00AF1A1D" w:rsidRDefault="0056668D" w:rsidP="00AF1A1D">
    <w:pPr>
      <w:pStyle w:val="Rodap"/>
      <w:tabs>
        <w:tab w:val="clear" w:pos="4252"/>
        <w:tab w:val="clear" w:pos="8504"/>
        <w:tab w:val="left" w:pos="736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403955"/>
      <w:docPartObj>
        <w:docPartGallery w:val="Page Numbers (Bottom of Page)"/>
        <w:docPartUnique/>
      </w:docPartObj>
    </w:sdtPr>
    <w:sdtEndPr/>
    <w:sdtContent>
      <w:p w14:paraId="302271D3" w14:textId="47CB8B6A" w:rsidR="0056668D" w:rsidRDefault="005666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3A">
          <w:rPr>
            <w:noProof/>
          </w:rPr>
          <w:t>- 2 -</w:t>
        </w:r>
        <w:r>
          <w:fldChar w:fldCharType="end"/>
        </w:r>
      </w:p>
    </w:sdtContent>
  </w:sdt>
  <w:p w14:paraId="347573A9" w14:textId="77777777" w:rsidR="0056668D" w:rsidRPr="004946B3" w:rsidRDefault="0056668D">
    <w:pPr>
      <w:pStyle w:val="Rodap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53D5" w14:textId="77777777" w:rsidR="000F69C2" w:rsidRDefault="000F69C2" w:rsidP="00CF013F">
      <w:pPr>
        <w:spacing w:after="0" w:line="240" w:lineRule="auto"/>
      </w:pPr>
      <w:r>
        <w:separator/>
      </w:r>
    </w:p>
  </w:footnote>
  <w:footnote w:type="continuationSeparator" w:id="0">
    <w:p w14:paraId="07AADE31" w14:textId="77777777" w:rsidR="000F69C2" w:rsidRDefault="000F69C2" w:rsidP="00CF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372A" w14:textId="77777777" w:rsidR="0056668D" w:rsidRPr="004E3E44" w:rsidRDefault="0056668D" w:rsidP="00AF1A1D">
    <w:pPr>
      <w:pStyle w:val="Cabealho"/>
      <w:rPr>
        <w:rFonts w:ascii="Gill Sans MT" w:hAnsi="Gill Sans MT"/>
        <w:b/>
        <w:sz w:val="20"/>
        <w:szCs w:val="20"/>
      </w:rPr>
    </w:pPr>
    <w:r w:rsidRPr="00AF1A1D">
      <w:rPr>
        <w:noProof/>
        <w:lang w:eastAsia="pt-PT"/>
      </w:rPr>
      <w:drawing>
        <wp:anchor distT="0" distB="0" distL="114300" distR="114300" simplePos="0" relativeHeight="251668480" behindDoc="0" locked="0" layoutInCell="1" allowOverlap="1" wp14:anchorId="0AAAB6CE" wp14:editId="5233C2BE">
          <wp:simplePos x="0" y="0"/>
          <wp:positionH relativeFrom="margin">
            <wp:posOffset>3909143</wp:posOffset>
          </wp:positionH>
          <wp:positionV relativeFrom="paragraph">
            <wp:posOffset>9442</wp:posOffset>
          </wp:positionV>
          <wp:extent cx="1792132" cy="511787"/>
          <wp:effectExtent l="19050" t="0" r="17780" b="19367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32" cy="51178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44">
      <w:rPr>
        <w:rFonts w:ascii="Gill Sans MT" w:hAnsi="Gill Sans MT"/>
        <w:b/>
        <w:sz w:val="20"/>
        <w:szCs w:val="20"/>
      </w:rPr>
      <w:t>Conjuntura Económica</w:t>
    </w:r>
    <w:r>
      <w:rPr>
        <w:rFonts w:ascii="Gill Sans MT" w:hAnsi="Gill Sans MT"/>
        <w:b/>
        <w:sz w:val="20"/>
        <w:szCs w:val="20"/>
      </w:rPr>
      <w:t xml:space="preserve"> Nacional e Internacional                                             </w:t>
    </w:r>
    <w:r w:rsidRPr="004E3E44">
      <w:rPr>
        <w:rFonts w:ascii="Gill Sans MT" w:hAnsi="Gill Sans MT"/>
        <w:b/>
        <w:sz w:val="20"/>
        <w:szCs w:val="20"/>
      </w:rPr>
      <w:t xml:space="preserve"> </w:t>
    </w:r>
  </w:p>
  <w:p w14:paraId="4C951562" w14:textId="77777777" w:rsidR="0056668D" w:rsidRPr="00BF344D" w:rsidRDefault="0056668D" w:rsidP="00AF1A1D">
    <w:pPr>
      <w:pStyle w:val="Cabealho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Dire</w:t>
    </w:r>
    <w:r w:rsidRPr="00BF344D">
      <w:rPr>
        <w:rFonts w:ascii="Gill Sans MT" w:hAnsi="Gill Sans MT"/>
        <w:sz w:val="16"/>
        <w:szCs w:val="16"/>
      </w:rPr>
      <w:t>ção Nacional do Planeamento</w:t>
    </w:r>
  </w:p>
  <w:p w14:paraId="0E622340" w14:textId="77777777" w:rsidR="0056668D" w:rsidRDefault="0056668D">
    <w:pPr>
      <w:pStyle w:val="Cabealho"/>
      <w:rPr>
        <w:rFonts w:ascii="Gill Sans MT" w:hAnsi="Gill Sans MT"/>
        <w:sz w:val="16"/>
        <w:szCs w:val="16"/>
      </w:rPr>
    </w:pPr>
    <w:r w:rsidRPr="00563D99">
      <w:rPr>
        <w:rFonts w:ascii="Gill Sans MT" w:hAnsi="Gill Sans MT"/>
        <w:sz w:val="16"/>
        <w:szCs w:val="16"/>
      </w:rPr>
      <w:t>Serviço de Prospetiva, Acompanhamento Macroeconómico e Estatísticas</w:t>
    </w:r>
  </w:p>
  <w:p w14:paraId="65EF0F23" w14:textId="77777777" w:rsidR="0056668D" w:rsidRDefault="0056668D">
    <w:pPr>
      <w:pStyle w:val="Cabealho"/>
      <w:rPr>
        <w:rFonts w:ascii="Gill Sans MT" w:hAnsi="Gill Sans MT"/>
        <w:sz w:val="16"/>
        <w:szCs w:val="16"/>
      </w:rPr>
    </w:pPr>
  </w:p>
  <w:p w14:paraId="1F249718" w14:textId="77777777" w:rsidR="0056668D" w:rsidRPr="00563D99" w:rsidRDefault="0056668D">
    <w:pPr>
      <w:pStyle w:val="Cabealho"/>
      <w:rPr>
        <w:rFonts w:ascii="Gill Sans MT" w:hAnsi="Gill Sans M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6ECC" w14:textId="77777777" w:rsidR="0056668D" w:rsidRPr="00AF1A1D" w:rsidRDefault="0056668D" w:rsidP="00EC6005">
    <w:pPr>
      <w:pStyle w:val="Cabealho"/>
    </w:pPr>
    <w:r w:rsidRPr="00AF1A1D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26C2DEEC" wp14:editId="1CEECCCB">
          <wp:simplePos x="0" y="0"/>
          <wp:positionH relativeFrom="column">
            <wp:posOffset>4109381</wp:posOffset>
          </wp:positionH>
          <wp:positionV relativeFrom="paragraph">
            <wp:posOffset>90167</wp:posOffset>
          </wp:positionV>
          <wp:extent cx="2055091" cy="620287"/>
          <wp:effectExtent l="0" t="0" r="2540" b="889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91" cy="63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99CC" w14:textId="77777777" w:rsidR="0056668D" w:rsidRDefault="0056668D" w:rsidP="00EC6005">
    <w:pPr>
      <w:pStyle w:val="Cabealho"/>
      <w:rPr>
        <w:rFonts w:ascii="Gill Sans MT" w:hAnsi="Gill Sans MT"/>
        <w:b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76672" behindDoc="0" locked="0" layoutInCell="1" allowOverlap="1" wp14:anchorId="10333F0C" wp14:editId="190664C9">
          <wp:simplePos x="0" y="0"/>
          <wp:positionH relativeFrom="margin">
            <wp:align>right</wp:align>
          </wp:positionH>
          <wp:positionV relativeFrom="paragraph">
            <wp:posOffset>39563</wp:posOffset>
          </wp:positionV>
          <wp:extent cx="1792132" cy="511787"/>
          <wp:effectExtent l="19050" t="0" r="17780" b="19367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32" cy="51178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25553A0E" wp14:editId="51A0E60E">
          <wp:simplePos x="0" y="0"/>
          <wp:positionH relativeFrom="column">
            <wp:posOffset>7470305</wp:posOffset>
          </wp:positionH>
          <wp:positionV relativeFrom="paragraph">
            <wp:posOffset>90170</wp:posOffset>
          </wp:positionV>
          <wp:extent cx="1792132" cy="511787"/>
          <wp:effectExtent l="19050" t="0" r="17780" b="19367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32" cy="51178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8CFD" w14:textId="77777777" w:rsidR="0056668D" w:rsidRDefault="0056668D" w:rsidP="00EC6005">
    <w:pPr>
      <w:pStyle w:val="Cabealho"/>
      <w:rPr>
        <w:rFonts w:ascii="Gill Sans MT" w:hAnsi="Gill Sans MT"/>
        <w:b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74624" behindDoc="0" locked="0" layoutInCell="1" allowOverlap="1" wp14:anchorId="24A67F0E" wp14:editId="2264F901">
          <wp:simplePos x="0" y="0"/>
          <wp:positionH relativeFrom="column">
            <wp:posOffset>4024630</wp:posOffset>
          </wp:positionH>
          <wp:positionV relativeFrom="paragraph">
            <wp:posOffset>91894</wp:posOffset>
          </wp:positionV>
          <wp:extent cx="1792132" cy="511787"/>
          <wp:effectExtent l="19050" t="0" r="17780" b="19367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32" cy="51178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2576" behindDoc="0" locked="0" layoutInCell="1" allowOverlap="1" wp14:anchorId="16B168B1" wp14:editId="2F0A1329">
          <wp:simplePos x="0" y="0"/>
          <wp:positionH relativeFrom="column">
            <wp:posOffset>7470305</wp:posOffset>
          </wp:positionH>
          <wp:positionV relativeFrom="paragraph">
            <wp:posOffset>90170</wp:posOffset>
          </wp:positionV>
          <wp:extent cx="1792132" cy="511787"/>
          <wp:effectExtent l="19050" t="0" r="17780" b="19367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32" cy="51178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88946" w14:textId="77777777" w:rsidR="0056668D" w:rsidRPr="004E3E44" w:rsidRDefault="0056668D" w:rsidP="00EC6005">
    <w:pPr>
      <w:pStyle w:val="Cabealho"/>
      <w:rPr>
        <w:rFonts w:ascii="Gill Sans MT" w:hAnsi="Gill Sans MT"/>
        <w:b/>
        <w:sz w:val="20"/>
        <w:szCs w:val="20"/>
      </w:rPr>
    </w:pPr>
    <w:r w:rsidRPr="004E3E44">
      <w:rPr>
        <w:rFonts w:ascii="Gill Sans MT" w:hAnsi="Gill Sans MT"/>
        <w:b/>
        <w:sz w:val="20"/>
        <w:szCs w:val="20"/>
      </w:rPr>
      <w:t>Conjuntura Económica</w:t>
    </w:r>
    <w:r>
      <w:rPr>
        <w:rFonts w:ascii="Gill Sans MT" w:hAnsi="Gill Sans MT"/>
        <w:b/>
        <w:sz w:val="20"/>
        <w:szCs w:val="20"/>
      </w:rPr>
      <w:t xml:space="preserve"> Nacional e Internacional                                             </w:t>
    </w:r>
    <w:r w:rsidRPr="004E3E44">
      <w:rPr>
        <w:rFonts w:ascii="Gill Sans MT" w:hAnsi="Gill Sans MT"/>
        <w:b/>
        <w:sz w:val="20"/>
        <w:szCs w:val="20"/>
      </w:rPr>
      <w:t xml:space="preserve"> </w:t>
    </w:r>
  </w:p>
  <w:p w14:paraId="52570138" w14:textId="77777777" w:rsidR="0056668D" w:rsidRPr="00BF344D" w:rsidRDefault="0056668D" w:rsidP="00EC6005">
    <w:pPr>
      <w:pStyle w:val="Cabealho"/>
      <w:rPr>
        <w:rFonts w:ascii="Gill Sans MT" w:hAnsi="Gill Sans MT"/>
        <w:sz w:val="16"/>
        <w:szCs w:val="16"/>
      </w:rPr>
    </w:pPr>
    <w:r w:rsidRPr="00BF344D">
      <w:rPr>
        <w:rFonts w:ascii="Gill Sans MT" w:hAnsi="Gill Sans MT"/>
        <w:sz w:val="16"/>
        <w:szCs w:val="16"/>
      </w:rPr>
      <w:t>Direção Nacional do Planeamento</w:t>
    </w:r>
  </w:p>
  <w:p w14:paraId="6ED6A36C" w14:textId="77777777" w:rsidR="0056668D" w:rsidRPr="00563D99" w:rsidRDefault="0056668D" w:rsidP="00563D99">
    <w:pPr>
      <w:rPr>
        <w:rFonts w:ascii="Gill Sans MT" w:hAnsi="Gill Sans MT"/>
        <w:sz w:val="16"/>
        <w:szCs w:val="16"/>
      </w:rPr>
    </w:pPr>
    <w:r w:rsidRPr="00563D99">
      <w:rPr>
        <w:rFonts w:ascii="Gill Sans MT" w:hAnsi="Gill Sans MT"/>
        <w:sz w:val="16"/>
        <w:szCs w:val="16"/>
      </w:rPr>
      <w:t>Serviço de Prospetiva, Acompanhamento Macroeconómico e Estatísticas</w:t>
    </w:r>
  </w:p>
  <w:p w14:paraId="3B485D85" w14:textId="77777777" w:rsidR="0056668D" w:rsidRPr="004E3E44" w:rsidRDefault="0056668D" w:rsidP="00563D99">
    <w:pPr>
      <w:rPr>
        <w:rFonts w:ascii="Gill Sans MT" w:hAnsi="Gill Sans MT"/>
        <w:noProof/>
        <w:sz w:val="16"/>
        <w:szCs w:val="16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7C9"/>
    <w:multiLevelType w:val="multilevel"/>
    <w:tmpl w:val="5D842D8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4058D"/>
    <w:multiLevelType w:val="hybridMultilevel"/>
    <w:tmpl w:val="64C2E6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28C"/>
    <w:multiLevelType w:val="multilevel"/>
    <w:tmpl w:val="60AC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61AAA"/>
    <w:multiLevelType w:val="hybridMultilevel"/>
    <w:tmpl w:val="92624094"/>
    <w:lvl w:ilvl="0" w:tplc="DDCA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620"/>
    <w:multiLevelType w:val="multilevel"/>
    <w:tmpl w:val="A1E07E5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685CC5"/>
    <w:multiLevelType w:val="hybridMultilevel"/>
    <w:tmpl w:val="97CCF6B8"/>
    <w:lvl w:ilvl="0" w:tplc="F1028F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729"/>
    <w:multiLevelType w:val="hybridMultilevel"/>
    <w:tmpl w:val="DC6A4C22"/>
    <w:lvl w:ilvl="0" w:tplc="0816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B173EDA"/>
    <w:multiLevelType w:val="hybridMultilevel"/>
    <w:tmpl w:val="C4A8FAB2"/>
    <w:lvl w:ilvl="0" w:tplc="A68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7B7"/>
    <w:multiLevelType w:val="hybridMultilevel"/>
    <w:tmpl w:val="7B200CD8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943750E"/>
    <w:multiLevelType w:val="multilevel"/>
    <w:tmpl w:val="EB7A2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D0771D"/>
    <w:multiLevelType w:val="hybridMultilevel"/>
    <w:tmpl w:val="CF5E04E2"/>
    <w:lvl w:ilvl="0" w:tplc="7C86A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554DD"/>
    <w:multiLevelType w:val="hybridMultilevel"/>
    <w:tmpl w:val="C7E2C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324D"/>
    <w:multiLevelType w:val="multilevel"/>
    <w:tmpl w:val="1FE266B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555866"/>
    <w:multiLevelType w:val="hybridMultilevel"/>
    <w:tmpl w:val="FB8CF390"/>
    <w:lvl w:ilvl="0" w:tplc="54CC93E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B714F"/>
    <w:multiLevelType w:val="multilevel"/>
    <w:tmpl w:val="5D842D8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544443"/>
    <w:multiLevelType w:val="multilevel"/>
    <w:tmpl w:val="5D842D8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EE2B12"/>
    <w:multiLevelType w:val="multilevel"/>
    <w:tmpl w:val="0030A7AE"/>
    <w:lvl w:ilvl="0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B5CD0"/>
    <w:multiLevelType w:val="multilevel"/>
    <w:tmpl w:val="55284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bCs w:val="0"/>
        <w:color w:val="990099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color w:val="99009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C191D4F"/>
    <w:multiLevelType w:val="hybridMultilevel"/>
    <w:tmpl w:val="E7787990"/>
    <w:lvl w:ilvl="0" w:tplc="0AACBC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D625A4B"/>
    <w:multiLevelType w:val="multilevel"/>
    <w:tmpl w:val="60AC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1"/>
  </w:num>
  <w:num w:numId="19">
    <w:abstractNumId w:val="18"/>
  </w:num>
  <w:num w:numId="20">
    <w:abstractNumId w:val="18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F / DNP / Director Nacional - Gilson Gomes Pina">
    <w15:presenceInfo w15:providerId="AD" w15:userId="S-1-5-21-1151036192-1557762573-3047633042-80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PT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pt-PT" w:vendorID="64" w:dllVersion="0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1A"/>
    <w:rsid w:val="000006E9"/>
    <w:rsid w:val="00001BC6"/>
    <w:rsid w:val="00002244"/>
    <w:rsid w:val="0000277F"/>
    <w:rsid w:val="00004283"/>
    <w:rsid w:val="0000448F"/>
    <w:rsid w:val="000057BD"/>
    <w:rsid w:val="00005A33"/>
    <w:rsid w:val="000060D4"/>
    <w:rsid w:val="0000644C"/>
    <w:rsid w:val="00006A31"/>
    <w:rsid w:val="00006EFC"/>
    <w:rsid w:val="000073F1"/>
    <w:rsid w:val="0000744B"/>
    <w:rsid w:val="0000780C"/>
    <w:rsid w:val="00007944"/>
    <w:rsid w:val="00007D12"/>
    <w:rsid w:val="00011160"/>
    <w:rsid w:val="00012E4C"/>
    <w:rsid w:val="00014211"/>
    <w:rsid w:val="0001480F"/>
    <w:rsid w:val="000149BE"/>
    <w:rsid w:val="00014EA8"/>
    <w:rsid w:val="00017907"/>
    <w:rsid w:val="00017C12"/>
    <w:rsid w:val="00021475"/>
    <w:rsid w:val="00021561"/>
    <w:rsid w:val="00021B33"/>
    <w:rsid w:val="00021CF8"/>
    <w:rsid w:val="00022EB5"/>
    <w:rsid w:val="0002324A"/>
    <w:rsid w:val="0002539E"/>
    <w:rsid w:val="000254E2"/>
    <w:rsid w:val="00025759"/>
    <w:rsid w:val="000257BE"/>
    <w:rsid w:val="000259C7"/>
    <w:rsid w:val="000265BB"/>
    <w:rsid w:val="00026C9B"/>
    <w:rsid w:val="00026F22"/>
    <w:rsid w:val="00030891"/>
    <w:rsid w:val="000330C7"/>
    <w:rsid w:val="00034A50"/>
    <w:rsid w:val="00036656"/>
    <w:rsid w:val="00036E88"/>
    <w:rsid w:val="00040704"/>
    <w:rsid w:val="00040DB3"/>
    <w:rsid w:val="00041184"/>
    <w:rsid w:val="00041B3F"/>
    <w:rsid w:val="00041FE3"/>
    <w:rsid w:val="0004205A"/>
    <w:rsid w:val="000423C0"/>
    <w:rsid w:val="00042917"/>
    <w:rsid w:val="00042BE4"/>
    <w:rsid w:val="00043230"/>
    <w:rsid w:val="000433DF"/>
    <w:rsid w:val="0004635D"/>
    <w:rsid w:val="00046F78"/>
    <w:rsid w:val="00047A03"/>
    <w:rsid w:val="00050DE9"/>
    <w:rsid w:val="00051665"/>
    <w:rsid w:val="000530E5"/>
    <w:rsid w:val="0005345E"/>
    <w:rsid w:val="000538AB"/>
    <w:rsid w:val="00053A3F"/>
    <w:rsid w:val="00055B11"/>
    <w:rsid w:val="00056166"/>
    <w:rsid w:val="000564AD"/>
    <w:rsid w:val="0005666B"/>
    <w:rsid w:val="000569AA"/>
    <w:rsid w:val="00057216"/>
    <w:rsid w:val="0005740F"/>
    <w:rsid w:val="00061793"/>
    <w:rsid w:val="000624AC"/>
    <w:rsid w:val="000636D3"/>
    <w:rsid w:val="000648C5"/>
    <w:rsid w:val="00064CC5"/>
    <w:rsid w:val="00064EB5"/>
    <w:rsid w:val="000651A6"/>
    <w:rsid w:val="00066C84"/>
    <w:rsid w:val="00067DCA"/>
    <w:rsid w:val="0007058F"/>
    <w:rsid w:val="00070E60"/>
    <w:rsid w:val="00071135"/>
    <w:rsid w:val="00071377"/>
    <w:rsid w:val="0007192A"/>
    <w:rsid w:val="00072764"/>
    <w:rsid w:val="0007314C"/>
    <w:rsid w:val="0007393D"/>
    <w:rsid w:val="00073C95"/>
    <w:rsid w:val="00073CB6"/>
    <w:rsid w:val="00075112"/>
    <w:rsid w:val="00075385"/>
    <w:rsid w:val="00075F3A"/>
    <w:rsid w:val="000769B9"/>
    <w:rsid w:val="00077BAA"/>
    <w:rsid w:val="00080369"/>
    <w:rsid w:val="000803CD"/>
    <w:rsid w:val="00080455"/>
    <w:rsid w:val="00080C7E"/>
    <w:rsid w:val="00082488"/>
    <w:rsid w:val="000842E8"/>
    <w:rsid w:val="00085F7B"/>
    <w:rsid w:val="000863C2"/>
    <w:rsid w:val="00086E2D"/>
    <w:rsid w:val="0009102C"/>
    <w:rsid w:val="000914B4"/>
    <w:rsid w:val="00091F46"/>
    <w:rsid w:val="0009220A"/>
    <w:rsid w:val="00092923"/>
    <w:rsid w:val="000930EC"/>
    <w:rsid w:val="000930F2"/>
    <w:rsid w:val="00093EAE"/>
    <w:rsid w:val="000941F2"/>
    <w:rsid w:val="00094BA4"/>
    <w:rsid w:val="000952E4"/>
    <w:rsid w:val="0009538C"/>
    <w:rsid w:val="00095666"/>
    <w:rsid w:val="00095C92"/>
    <w:rsid w:val="00097269"/>
    <w:rsid w:val="00097C16"/>
    <w:rsid w:val="000A1138"/>
    <w:rsid w:val="000A1255"/>
    <w:rsid w:val="000A14F7"/>
    <w:rsid w:val="000A2256"/>
    <w:rsid w:val="000A2F49"/>
    <w:rsid w:val="000A3255"/>
    <w:rsid w:val="000A3AF5"/>
    <w:rsid w:val="000A3EB9"/>
    <w:rsid w:val="000A4BDF"/>
    <w:rsid w:val="000A4F50"/>
    <w:rsid w:val="000A53CD"/>
    <w:rsid w:val="000A56F8"/>
    <w:rsid w:val="000A59DF"/>
    <w:rsid w:val="000A5CE7"/>
    <w:rsid w:val="000A5F78"/>
    <w:rsid w:val="000A673F"/>
    <w:rsid w:val="000A7E50"/>
    <w:rsid w:val="000A7F35"/>
    <w:rsid w:val="000B1870"/>
    <w:rsid w:val="000B1AA2"/>
    <w:rsid w:val="000B266E"/>
    <w:rsid w:val="000B2E64"/>
    <w:rsid w:val="000B3552"/>
    <w:rsid w:val="000B4026"/>
    <w:rsid w:val="000B414E"/>
    <w:rsid w:val="000B4D57"/>
    <w:rsid w:val="000B5FD2"/>
    <w:rsid w:val="000B688D"/>
    <w:rsid w:val="000B68AA"/>
    <w:rsid w:val="000B7815"/>
    <w:rsid w:val="000C0552"/>
    <w:rsid w:val="000C06BD"/>
    <w:rsid w:val="000C0BE7"/>
    <w:rsid w:val="000C0F74"/>
    <w:rsid w:val="000C3716"/>
    <w:rsid w:val="000C4026"/>
    <w:rsid w:val="000C487F"/>
    <w:rsid w:val="000C51E2"/>
    <w:rsid w:val="000C5A9C"/>
    <w:rsid w:val="000C7913"/>
    <w:rsid w:val="000C7A2E"/>
    <w:rsid w:val="000D03A7"/>
    <w:rsid w:val="000D07F7"/>
    <w:rsid w:val="000D08BF"/>
    <w:rsid w:val="000D18CB"/>
    <w:rsid w:val="000D1A0E"/>
    <w:rsid w:val="000D3745"/>
    <w:rsid w:val="000D439B"/>
    <w:rsid w:val="000D445A"/>
    <w:rsid w:val="000D4A66"/>
    <w:rsid w:val="000D58E0"/>
    <w:rsid w:val="000D60C8"/>
    <w:rsid w:val="000D62CE"/>
    <w:rsid w:val="000D6987"/>
    <w:rsid w:val="000D71C8"/>
    <w:rsid w:val="000D7934"/>
    <w:rsid w:val="000D7AC3"/>
    <w:rsid w:val="000E0386"/>
    <w:rsid w:val="000E0E79"/>
    <w:rsid w:val="000E1978"/>
    <w:rsid w:val="000E1B49"/>
    <w:rsid w:val="000E330C"/>
    <w:rsid w:val="000E37C7"/>
    <w:rsid w:val="000E50E0"/>
    <w:rsid w:val="000E5EED"/>
    <w:rsid w:val="000E5F11"/>
    <w:rsid w:val="000E605D"/>
    <w:rsid w:val="000E73E7"/>
    <w:rsid w:val="000E7932"/>
    <w:rsid w:val="000F023C"/>
    <w:rsid w:val="000F14BB"/>
    <w:rsid w:val="000F15F9"/>
    <w:rsid w:val="000F22AA"/>
    <w:rsid w:val="000F2C6C"/>
    <w:rsid w:val="000F432B"/>
    <w:rsid w:val="000F4ECE"/>
    <w:rsid w:val="000F4F53"/>
    <w:rsid w:val="000F5096"/>
    <w:rsid w:val="000F69C2"/>
    <w:rsid w:val="000F7816"/>
    <w:rsid w:val="001029D1"/>
    <w:rsid w:val="00102EA9"/>
    <w:rsid w:val="00103BC5"/>
    <w:rsid w:val="00104A21"/>
    <w:rsid w:val="00104A33"/>
    <w:rsid w:val="001054C1"/>
    <w:rsid w:val="001059DC"/>
    <w:rsid w:val="00105A2D"/>
    <w:rsid w:val="00106091"/>
    <w:rsid w:val="00106766"/>
    <w:rsid w:val="00106D77"/>
    <w:rsid w:val="00106DBE"/>
    <w:rsid w:val="00107A63"/>
    <w:rsid w:val="00107E08"/>
    <w:rsid w:val="00107F81"/>
    <w:rsid w:val="00111636"/>
    <w:rsid w:val="00111C7E"/>
    <w:rsid w:val="00111E7B"/>
    <w:rsid w:val="00111F0D"/>
    <w:rsid w:val="001132B6"/>
    <w:rsid w:val="00113C83"/>
    <w:rsid w:val="001146A2"/>
    <w:rsid w:val="00114B7F"/>
    <w:rsid w:val="001153B9"/>
    <w:rsid w:val="00115928"/>
    <w:rsid w:val="00115ADD"/>
    <w:rsid w:val="00116590"/>
    <w:rsid w:val="00116724"/>
    <w:rsid w:val="001178C2"/>
    <w:rsid w:val="00117914"/>
    <w:rsid w:val="001201E7"/>
    <w:rsid w:val="00120A35"/>
    <w:rsid w:val="00122254"/>
    <w:rsid w:val="00122B3A"/>
    <w:rsid w:val="00122BF1"/>
    <w:rsid w:val="00123713"/>
    <w:rsid w:val="001241F1"/>
    <w:rsid w:val="00125414"/>
    <w:rsid w:val="001255FE"/>
    <w:rsid w:val="00126391"/>
    <w:rsid w:val="001268CB"/>
    <w:rsid w:val="00127452"/>
    <w:rsid w:val="00127AF5"/>
    <w:rsid w:val="001304D1"/>
    <w:rsid w:val="00130557"/>
    <w:rsid w:val="00130584"/>
    <w:rsid w:val="001305A7"/>
    <w:rsid w:val="001310FD"/>
    <w:rsid w:val="00132146"/>
    <w:rsid w:val="00132A28"/>
    <w:rsid w:val="00133AF3"/>
    <w:rsid w:val="00133F10"/>
    <w:rsid w:val="001348AF"/>
    <w:rsid w:val="00134ECE"/>
    <w:rsid w:val="001358BF"/>
    <w:rsid w:val="00136F0F"/>
    <w:rsid w:val="00137082"/>
    <w:rsid w:val="0014051A"/>
    <w:rsid w:val="00140BF8"/>
    <w:rsid w:val="001411BC"/>
    <w:rsid w:val="00141462"/>
    <w:rsid w:val="001422E3"/>
    <w:rsid w:val="00143658"/>
    <w:rsid w:val="00143E1B"/>
    <w:rsid w:val="0014469B"/>
    <w:rsid w:val="00144D16"/>
    <w:rsid w:val="001460C1"/>
    <w:rsid w:val="0014632C"/>
    <w:rsid w:val="00146932"/>
    <w:rsid w:val="00146ABC"/>
    <w:rsid w:val="0014779F"/>
    <w:rsid w:val="00150ADC"/>
    <w:rsid w:val="00150B4C"/>
    <w:rsid w:val="0015341B"/>
    <w:rsid w:val="001538B0"/>
    <w:rsid w:val="00154857"/>
    <w:rsid w:val="00154B3E"/>
    <w:rsid w:val="0015540C"/>
    <w:rsid w:val="00155785"/>
    <w:rsid w:val="0015646D"/>
    <w:rsid w:val="00157113"/>
    <w:rsid w:val="001571AE"/>
    <w:rsid w:val="00157962"/>
    <w:rsid w:val="00157CA9"/>
    <w:rsid w:val="00160A13"/>
    <w:rsid w:val="00160A81"/>
    <w:rsid w:val="001612F9"/>
    <w:rsid w:val="0016145F"/>
    <w:rsid w:val="00162449"/>
    <w:rsid w:val="00163495"/>
    <w:rsid w:val="001638BF"/>
    <w:rsid w:val="00163D9C"/>
    <w:rsid w:val="001657BC"/>
    <w:rsid w:val="00167233"/>
    <w:rsid w:val="00167ECE"/>
    <w:rsid w:val="0017072C"/>
    <w:rsid w:val="00170BE5"/>
    <w:rsid w:val="00170C41"/>
    <w:rsid w:val="00170CF4"/>
    <w:rsid w:val="0017204F"/>
    <w:rsid w:val="00176350"/>
    <w:rsid w:val="00176803"/>
    <w:rsid w:val="001802E3"/>
    <w:rsid w:val="0018178D"/>
    <w:rsid w:val="00181B33"/>
    <w:rsid w:val="00182563"/>
    <w:rsid w:val="00183D39"/>
    <w:rsid w:val="0018496D"/>
    <w:rsid w:val="00185B5F"/>
    <w:rsid w:val="00185F90"/>
    <w:rsid w:val="001862C9"/>
    <w:rsid w:val="00186D54"/>
    <w:rsid w:val="001879CB"/>
    <w:rsid w:val="00187D4E"/>
    <w:rsid w:val="00187D92"/>
    <w:rsid w:val="00187EA2"/>
    <w:rsid w:val="00190113"/>
    <w:rsid w:val="001904B8"/>
    <w:rsid w:val="00190858"/>
    <w:rsid w:val="00190BF9"/>
    <w:rsid w:val="001912AE"/>
    <w:rsid w:val="00191A0D"/>
    <w:rsid w:val="001929BA"/>
    <w:rsid w:val="001930C4"/>
    <w:rsid w:val="00193512"/>
    <w:rsid w:val="00193DF2"/>
    <w:rsid w:val="001942CC"/>
    <w:rsid w:val="0019551E"/>
    <w:rsid w:val="00196263"/>
    <w:rsid w:val="00196C50"/>
    <w:rsid w:val="00197F72"/>
    <w:rsid w:val="001A0CDB"/>
    <w:rsid w:val="001A0E78"/>
    <w:rsid w:val="001A1A71"/>
    <w:rsid w:val="001A1C94"/>
    <w:rsid w:val="001A2759"/>
    <w:rsid w:val="001A3D49"/>
    <w:rsid w:val="001A448E"/>
    <w:rsid w:val="001A49C4"/>
    <w:rsid w:val="001A54B7"/>
    <w:rsid w:val="001A62BD"/>
    <w:rsid w:val="001A6325"/>
    <w:rsid w:val="001A67B2"/>
    <w:rsid w:val="001A6F2E"/>
    <w:rsid w:val="001B0A95"/>
    <w:rsid w:val="001B574F"/>
    <w:rsid w:val="001B695E"/>
    <w:rsid w:val="001B7C86"/>
    <w:rsid w:val="001C07CC"/>
    <w:rsid w:val="001C123F"/>
    <w:rsid w:val="001C2BB5"/>
    <w:rsid w:val="001C33FC"/>
    <w:rsid w:val="001C3A4D"/>
    <w:rsid w:val="001C3CB6"/>
    <w:rsid w:val="001C45BA"/>
    <w:rsid w:val="001C4AD6"/>
    <w:rsid w:val="001C51B4"/>
    <w:rsid w:val="001C6095"/>
    <w:rsid w:val="001C66BE"/>
    <w:rsid w:val="001C6A1B"/>
    <w:rsid w:val="001C79F1"/>
    <w:rsid w:val="001C7AD8"/>
    <w:rsid w:val="001D039D"/>
    <w:rsid w:val="001D05D0"/>
    <w:rsid w:val="001D0E83"/>
    <w:rsid w:val="001D0EB5"/>
    <w:rsid w:val="001D12F8"/>
    <w:rsid w:val="001D1FAE"/>
    <w:rsid w:val="001D3211"/>
    <w:rsid w:val="001D32AD"/>
    <w:rsid w:val="001D3505"/>
    <w:rsid w:val="001D3628"/>
    <w:rsid w:val="001D425B"/>
    <w:rsid w:val="001D47EC"/>
    <w:rsid w:val="001D4DF1"/>
    <w:rsid w:val="001D50CE"/>
    <w:rsid w:val="001D5A0E"/>
    <w:rsid w:val="001D5C35"/>
    <w:rsid w:val="001D5D91"/>
    <w:rsid w:val="001D6B7F"/>
    <w:rsid w:val="001E0051"/>
    <w:rsid w:val="001E03FB"/>
    <w:rsid w:val="001E0AAE"/>
    <w:rsid w:val="001E10DE"/>
    <w:rsid w:val="001E1453"/>
    <w:rsid w:val="001E225F"/>
    <w:rsid w:val="001E3627"/>
    <w:rsid w:val="001E3719"/>
    <w:rsid w:val="001E3ADF"/>
    <w:rsid w:val="001E42FE"/>
    <w:rsid w:val="001E47D7"/>
    <w:rsid w:val="001E4BD1"/>
    <w:rsid w:val="001E4E32"/>
    <w:rsid w:val="001E4FBF"/>
    <w:rsid w:val="001E639C"/>
    <w:rsid w:val="001E6C63"/>
    <w:rsid w:val="001F031B"/>
    <w:rsid w:val="001F150B"/>
    <w:rsid w:val="001F22F4"/>
    <w:rsid w:val="001F36DA"/>
    <w:rsid w:val="001F3D74"/>
    <w:rsid w:val="001F5903"/>
    <w:rsid w:val="001F6891"/>
    <w:rsid w:val="001F6E80"/>
    <w:rsid w:val="001F6EE2"/>
    <w:rsid w:val="001F7B8A"/>
    <w:rsid w:val="00200687"/>
    <w:rsid w:val="00200B55"/>
    <w:rsid w:val="002018DA"/>
    <w:rsid w:val="00202697"/>
    <w:rsid w:val="00202931"/>
    <w:rsid w:val="00203447"/>
    <w:rsid w:val="00203754"/>
    <w:rsid w:val="00204B9F"/>
    <w:rsid w:val="00204F63"/>
    <w:rsid w:val="00205457"/>
    <w:rsid w:val="00206C8A"/>
    <w:rsid w:val="002075F3"/>
    <w:rsid w:val="002077D4"/>
    <w:rsid w:val="00212D2C"/>
    <w:rsid w:val="00213B82"/>
    <w:rsid w:val="00214AF7"/>
    <w:rsid w:val="00214E6E"/>
    <w:rsid w:val="0021627F"/>
    <w:rsid w:val="00216332"/>
    <w:rsid w:val="002164CA"/>
    <w:rsid w:val="00217111"/>
    <w:rsid w:val="0021759F"/>
    <w:rsid w:val="00220881"/>
    <w:rsid w:val="00221015"/>
    <w:rsid w:val="002235BA"/>
    <w:rsid w:val="0022372A"/>
    <w:rsid w:val="00223805"/>
    <w:rsid w:val="002244D5"/>
    <w:rsid w:val="00224837"/>
    <w:rsid w:val="00225716"/>
    <w:rsid w:val="00225FCE"/>
    <w:rsid w:val="00227135"/>
    <w:rsid w:val="002272AC"/>
    <w:rsid w:val="002275C9"/>
    <w:rsid w:val="00227E7E"/>
    <w:rsid w:val="00232165"/>
    <w:rsid w:val="00232529"/>
    <w:rsid w:val="00232BD9"/>
    <w:rsid w:val="0023548E"/>
    <w:rsid w:val="00235BB0"/>
    <w:rsid w:val="0023758F"/>
    <w:rsid w:val="0023787B"/>
    <w:rsid w:val="00241C4B"/>
    <w:rsid w:val="00242897"/>
    <w:rsid w:val="00242ADB"/>
    <w:rsid w:val="00243191"/>
    <w:rsid w:val="00243DB0"/>
    <w:rsid w:val="002442C8"/>
    <w:rsid w:val="002446A0"/>
    <w:rsid w:val="002446B4"/>
    <w:rsid w:val="0024562C"/>
    <w:rsid w:val="00245BF7"/>
    <w:rsid w:val="0024615D"/>
    <w:rsid w:val="00246255"/>
    <w:rsid w:val="002466EF"/>
    <w:rsid w:val="002467C4"/>
    <w:rsid w:val="002469BE"/>
    <w:rsid w:val="00246F5C"/>
    <w:rsid w:val="00251A4B"/>
    <w:rsid w:val="00251ABE"/>
    <w:rsid w:val="00251D1E"/>
    <w:rsid w:val="002524CC"/>
    <w:rsid w:val="002526D7"/>
    <w:rsid w:val="002547B1"/>
    <w:rsid w:val="0025482E"/>
    <w:rsid w:val="00254F62"/>
    <w:rsid w:val="0025651E"/>
    <w:rsid w:val="00256781"/>
    <w:rsid w:val="0025698D"/>
    <w:rsid w:val="00256AE3"/>
    <w:rsid w:val="00256B01"/>
    <w:rsid w:val="0025756F"/>
    <w:rsid w:val="0026016D"/>
    <w:rsid w:val="0026063C"/>
    <w:rsid w:val="002609D3"/>
    <w:rsid w:val="002616A3"/>
    <w:rsid w:val="002620F9"/>
    <w:rsid w:val="002621F1"/>
    <w:rsid w:val="0026244D"/>
    <w:rsid w:val="00263F4B"/>
    <w:rsid w:val="00264CA0"/>
    <w:rsid w:val="00267283"/>
    <w:rsid w:val="002678C3"/>
    <w:rsid w:val="00270413"/>
    <w:rsid w:val="00271440"/>
    <w:rsid w:val="00271484"/>
    <w:rsid w:val="002718DF"/>
    <w:rsid w:val="002729AE"/>
    <w:rsid w:val="00273FE7"/>
    <w:rsid w:val="0027510D"/>
    <w:rsid w:val="00275442"/>
    <w:rsid w:val="00276C7E"/>
    <w:rsid w:val="00276E94"/>
    <w:rsid w:val="00276E9E"/>
    <w:rsid w:val="00277EEB"/>
    <w:rsid w:val="00280D26"/>
    <w:rsid w:val="00281AF6"/>
    <w:rsid w:val="00281ED6"/>
    <w:rsid w:val="00282489"/>
    <w:rsid w:val="002827A9"/>
    <w:rsid w:val="00282F72"/>
    <w:rsid w:val="00282FAF"/>
    <w:rsid w:val="00284AF2"/>
    <w:rsid w:val="00284E61"/>
    <w:rsid w:val="002858EE"/>
    <w:rsid w:val="002859B4"/>
    <w:rsid w:val="00285DEB"/>
    <w:rsid w:val="00286AB9"/>
    <w:rsid w:val="00290843"/>
    <w:rsid w:val="00290BD1"/>
    <w:rsid w:val="00290D12"/>
    <w:rsid w:val="002910DD"/>
    <w:rsid w:val="002923DE"/>
    <w:rsid w:val="0029265A"/>
    <w:rsid w:val="00293C81"/>
    <w:rsid w:val="002946E2"/>
    <w:rsid w:val="00294880"/>
    <w:rsid w:val="00294BC3"/>
    <w:rsid w:val="00294C8B"/>
    <w:rsid w:val="00295500"/>
    <w:rsid w:val="00296422"/>
    <w:rsid w:val="002A0BC4"/>
    <w:rsid w:val="002A0C25"/>
    <w:rsid w:val="002A1E69"/>
    <w:rsid w:val="002A2FFB"/>
    <w:rsid w:val="002A3078"/>
    <w:rsid w:val="002A30C6"/>
    <w:rsid w:val="002A38D4"/>
    <w:rsid w:val="002A44DC"/>
    <w:rsid w:val="002A4595"/>
    <w:rsid w:val="002A51B0"/>
    <w:rsid w:val="002A5885"/>
    <w:rsid w:val="002A6D68"/>
    <w:rsid w:val="002A7BBB"/>
    <w:rsid w:val="002A7EFB"/>
    <w:rsid w:val="002A7F3B"/>
    <w:rsid w:val="002B1035"/>
    <w:rsid w:val="002B1A03"/>
    <w:rsid w:val="002B2808"/>
    <w:rsid w:val="002B33B5"/>
    <w:rsid w:val="002B3560"/>
    <w:rsid w:val="002B39BD"/>
    <w:rsid w:val="002B3E8C"/>
    <w:rsid w:val="002B4676"/>
    <w:rsid w:val="002B7465"/>
    <w:rsid w:val="002C014D"/>
    <w:rsid w:val="002C07AE"/>
    <w:rsid w:val="002C0C52"/>
    <w:rsid w:val="002C0DF2"/>
    <w:rsid w:val="002C1D82"/>
    <w:rsid w:val="002C1F98"/>
    <w:rsid w:val="002C22CD"/>
    <w:rsid w:val="002C24D7"/>
    <w:rsid w:val="002C3E10"/>
    <w:rsid w:val="002C4C86"/>
    <w:rsid w:val="002C4F2D"/>
    <w:rsid w:val="002C5B42"/>
    <w:rsid w:val="002C6243"/>
    <w:rsid w:val="002C679D"/>
    <w:rsid w:val="002C6CDF"/>
    <w:rsid w:val="002C6D21"/>
    <w:rsid w:val="002C7FCF"/>
    <w:rsid w:val="002D13B6"/>
    <w:rsid w:val="002D14EB"/>
    <w:rsid w:val="002D1B5B"/>
    <w:rsid w:val="002D1E93"/>
    <w:rsid w:val="002D27F2"/>
    <w:rsid w:val="002D2875"/>
    <w:rsid w:val="002D2DBD"/>
    <w:rsid w:val="002D34F3"/>
    <w:rsid w:val="002D4FB5"/>
    <w:rsid w:val="002D575B"/>
    <w:rsid w:val="002D6EBD"/>
    <w:rsid w:val="002D7753"/>
    <w:rsid w:val="002D7846"/>
    <w:rsid w:val="002D795F"/>
    <w:rsid w:val="002D7D7C"/>
    <w:rsid w:val="002E00DD"/>
    <w:rsid w:val="002E01E3"/>
    <w:rsid w:val="002E1472"/>
    <w:rsid w:val="002E19C0"/>
    <w:rsid w:val="002E1AB1"/>
    <w:rsid w:val="002E1D27"/>
    <w:rsid w:val="002E24C4"/>
    <w:rsid w:val="002E347B"/>
    <w:rsid w:val="002E360D"/>
    <w:rsid w:val="002E457C"/>
    <w:rsid w:val="002E4698"/>
    <w:rsid w:val="002E4863"/>
    <w:rsid w:val="002E5A00"/>
    <w:rsid w:val="002E5C4B"/>
    <w:rsid w:val="002E62D6"/>
    <w:rsid w:val="002E745E"/>
    <w:rsid w:val="002E7A06"/>
    <w:rsid w:val="002F019E"/>
    <w:rsid w:val="002F0BDF"/>
    <w:rsid w:val="002F10D3"/>
    <w:rsid w:val="002F12F8"/>
    <w:rsid w:val="002F1E45"/>
    <w:rsid w:val="002F208D"/>
    <w:rsid w:val="002F2421"/>
    <w:rsid w:val="002F331E"/>
    <w:rsid w:val="002F3792"/>
    <w:rsid w:val="002F3823"/>
    <w:rsid w:val="002F4627"/>
    <w:rsid w:val="002F4874"/>
    <w:rsid w:val="002F59F4"/>
    <w:rsid w:val="002F687C"/>
    <w:rsid w:val="002F7940"/>
    <w:rsid w:val="00300A23"/>
    <w:rsid w:val="003035BF"/>
    <w:rsid w:val="00303C30"/>
    <w:rsid w:val="00303DC4"/>
    <w:rsid w:val="00303FC2"/>
    <w:rsid w:val="003040A0"/>
    <w:rsid w:val="003044DE"/>
    <w:rsid w:val="0030465A"/>
    <w:rsid w:val="00304BEA"/>
    <w:rsid w:val="00304FF5"/>
    <w:rsid w:val="00310A5A"/>
    <w:rsid w:val="00310BBD"/>
    <w:rsid w:val="003114B7"/>
    <w:rsid w:val="00312494"/>
    <w:rsid w:val="00312948"/>
    <w:rsid w:val="00312D58"/>
    <w:rsid w:val="00313344"/>
    <w:rsid w:val="00313778"/>
    <w:rsid w:val="00314630"/>
    <w:rsid w:val="00314C68"/>
    <w:rsid w:val="00315437"/>
    <w:rsid w:val="00317E59"/>
    <w:rsid w:val="00317EA8"/>
    <w:rsid w:val="00321282"/>
    <w:rsid w:val="00321354"/>
    <w:rsid w:val="0032149A"/>
    <w:rsid w:val="00321503"/>
    <w:rsid w:val="00321C7B"/>
    <w:rsid w:val="00322A62"/>
    <w:rsid w:val="00322AEA"/>
    <w:rsid w:val="00322F9D"/>
    <w:rsid w:val="003233AA"/>
    <w:rsid w:val="0032420C"/>
    <w:rsid w:val="0032420D"/>
    <w:rsid w:val="00324FEF"/>
    <w:rsid w:val="00325144"/>
    <w:rsid w:val="003251B9"/>
    <w:rsid w:val="00325758"/>
    <w:rsid w:val="00326558"/>
    <w:rsid w:val="003267F9"/>
    <w:rsid w:val="003276C4"/>
    <w:rsid w:val="003277F7"/>
    <w:rsid w:val="00327F93"/>
    <w:rsid w:val="00330259"/>
    <w:rsid w:val="00330386"/>
    <w:rsid w:val="003312CC"/>
    <w:rsid w:val="00333040"/>
    <w:rsid w:val="0033421B"/>
    <w:rsid w:val="0033510A"/>
    <w:rsid w:val="00335AB2"/>
    <w:rsid w:val="00336508"/>
    <w:rsid w:val="00336F81"/>
    <w:rsid w:val="00337967"/>
    <w:rsid w:val="0034048E"/>
    <w:rsid w:val="00340589"/>
    <w:rsid w:val="0034123F"/>
    <w:rsid w:val="00341385"/>
    <w:rsid w:val="003426F4"/>
    <w:rsid w:val="0034311E"/>
    <w:rsid w:val="0034361A"/>
    <w:rsid w:val="00343C78"/>
    <w:rsid w:val="00343EFB"/>
    <w:rsid w:val="003446E0"/>
    <w:rsid w:val="00344DD2"/>
    <w:rsid w:val="00346FFA"/>
    <w:rsid w:val="00347BD7"/>
    <w:rsid w:val="003507F0"/>
    <w:rsid w:val="003507F2"/>
    <w:rsid w:val="003514D5"/>
    <w:rsid w:val="0035163A"/>
    <w:rsid w:val="00352ABC"/>
    <w:rsid w:val="00352E81"/>
    <w:rsid w:val="00353225"/>
    <w:rsid w:val="00353B22"/>
    <w:rsid w:val="0035484E"/>
    <w:rsid w:val="00354F5C"/>
    <w:rsid w:val="0035604B"/>
    <w:rsid w:val="00356790"/>
    <w:rsid w:val="00356D43"/>
    <w:rsid w:val="00357077"/>
    <w:rsid w:val="00357EE7"/>
    <w:rsid w:val="00360D2D"/>
    <w:rsid w:val="00361177"/>
    <w:rsid w:val="00362E62"/>
    <w:rsid w:val="00363EC3"/>
    <w:rsid w:val="003651C5"/>
    <w:rsid w:val="00365D49"/>
    <w:rsid w:val="00366769"/>
    <w:rsid w:val="003669F0"/>
    <w:rsid w:val="00366C4F"/>
    <w:rsid w:val="0036719D"/>
    <w:rsid w:val="0036769B"/>
    <w:rsid w:val="003676EE"/>
    <w:rsid w:val="00367D9D"/>
    <w:rsid w:val="0037000C"/>
    <w:rsid w:val="00371456"/>
    <w:rsid w:val="003716F7"/>
    <w:rsid w:val="00372281"/>
    <w:rsid w:val="00372539"/>
    <w:rsid w:val="00372AD4"/>
    <w:rsid w:val="00372D76"/>
    <w:rsid w:val="00373D52"/>
    <w:rsid w:val="00374386"/>
    <w:rsid w:val="00375CFD"/>
    <w:rsid w:val="003765ED"/>
    <w:rsid w:val="00377132"/>
    <w:rsid w:val="00381890"/>
    <w:rsid w:val="00381B6D"/>
    <w:rsid w:val="00381ED9"/>
    <w:rsid w:val="00381F77"/>
    <w:rsid w:val="0038277E"/>
    <w:rsid w:val="0038299E"/>
    <w:rsid w:val="00382BE3"/>
    <w:rsid w:val="00383D8F"/>
    <w:rsid w:val="00384944"/>
    <w:rsid w:val="003856CE"/>
    <w:rsid w:val="00385CF9"/>
    <w:rsid w:val="00385E6E"/>
    <w:rsid w:val="00387E06"/>
    <w:rsid w:val="00390121"/>
    <w:rsid w:val="003901C0"/>
    <w:rsid w:val="003902AB"/>
    <w:rsid w:val="00390D57"/>
    <w:rsid w:val="003911DF"/>
    <w:rsid w:val="003913B9"/>
    <w:rsid w:val="0039160A"/>
    <w:rsid w:val="0039203F"/>
    <w:rsid w:val="003928C0"/>
    <w:rsid w:val="003929A5"/>
    <w:rsid w:val="00393623"/>
    <w:rsid w:val="0039477D"/>
    <w:rsid w:val="00394D4B"/>
    <w:rsid w:val="00395B6B"/>
    <w:rsid w:val="0039691E"/>
    <w:rsid w:val="00396B98"/>
    <w:rsid w:val="003977C7"/>
    <w:rsid w:val="00397C43"/>
    <w:rsid w:val="00397D92"/>
    <w:rsid w:val="003A043A"/>
    <w:rsid w:val="003A051E"/>
    <w:rsid w:val="003A08FD"/>
    <w:rsid w:val="003A10A0"/>
    <w:rsid w:val="003A1727"/>
    <w:rsid w:val="003A2C61"/>
    <w:rsid w:val="003A2D72"/>
    <w:rsid w:val="003A2F93"/>
    <w:rsid w:val="003A3D38"/>
    <w:rsid w:val="003A4016"/>
    <w:rsid w:val="003A4485"/>
    <w:rsid w:val="003A534A"/>
    <w:rsid w:val="003A5D25"/>
    <w:rsid w:val="003A60C5"/>
    <w:rsid w:val="003A6825"/>
    <w:rsid w:val="003A6FC1"/>
    <w:rsid w:val="003A7B91"/>
    <w:rsid w:val="003A7FBE"/>
    <w:rsid w:val="003B188C"/>
    <w:rsid w:val="003B18F9"/>
    <w:rsid w:val="003B26C9"/>
    <w:rsid w:val="003B30E2"/>
    <w:rsid w:val="003B3431"/>
    <w:rsid w:val="003B3C6E"/>
    <w:rsid w:val="003B3CAC"/>
    <w:rsid w:val="003B40CE"/>
    <w:rsid w:val="003B430A"/>
    <w:rsid w:val="003B488B"/>
    <w:rsid w:val="003B48FA"/>
    <w:rsid w:val="003B5B1D"/>
    <w:rsid w:val="003B68CD"/>
    <w:rsid w:val="003B6D6A"/>
    <w:rsid w:val="003B729F"/>
    <w:rsid w:val="003B7846"/>
    <w:rsid w:val="003C01CC"/>
    <w:rsid w:val="003C0939"/>
    <w:rsid w:val="003C104E"/>
    <w:rsid w:val="003C1331"/>
    <w:rsid w:val="003C2216"/>
    <w:rsid w:val="003C2273"/>
    <w:rsid w:val="003C280F"/>
    <w:rsid w:val="003C48DD"/>
    <w:rsid w:val="003C591E"/>
    <w:rsid w:val="003C6CA2"/>
    <w:rsid w:val="003C6F87"/>
    <w:rsid w:val="003C72EB"/>
    <w:rsid w:val="003D24AC"/>
    <w:rsid w:val="003D43BD"/>
    <w:rsid w:val="003D4E82"/>
    <w:rsid w:val="003D5D3A"/>
    <w:rsid w:val="003D5F9B"/>
    <w:rsid w:val="003D5FFF"/>
    <w:rsid w:val="003D61FB"/>
    <w:rsid w:val="003D704F"/>
    <w:rsid w:val="003D70A0"/>
    <w:rsid w:val="003D7940"/>
    <w:rsid w:val="003E1100"/>
    <w:rsid w:val="003E17D7"/>
    <w:rsid w:val="003E27CC"/>
    <w:rsid w:val="003E293F"/>
    <w:rsid w:val="003E2B8F"/>
    <w:rsid w:val="003E33CC"/>
    <w:rsid w:val="003E49D0"/>
    <w:rsid w:val="003E4DE2"/>
    <w:rsid w:val="003E5237"/>
    <w:rsid w:val="003E59D2"/>
    <w:rsid w:val="003E61E3"/>
    <w:rsid w:val="003E7BFE"/>
    <w:rsid w:val="003F0BD4"/>
    <w:rsid w:val="003F0CB4"/>
    <w:rsid w:val="003F2DF9"/>
    <w:rsid w:val="003F47FB"/>
    <w:rsid w:val="003F4813"/>
    <w:rsid w:val="003F4ABC"/>
    <w:rsid w:val="003F4CA9"/>
    <w:rsid w:val="003F4E6C"/>
    <w:rsid w:val="003F5089"/>
    <w:rsid w:val="003F532D"/>
    <w:rsid w:val="003F547E"/>
    <w:rsid w:val="003F63C6"/>
    <w:rsid w:val="003F7400"/>
    <w:rsid w:val="003F7A34"/>
    <w:rsid w:val="00400158"/>
    <w:rsid w:val="00400361"/>
    <w:rsid w:val="004004FC"/>
    <w:rsid w:val="0040106D"/>
    <w:rsid w:val="004011AC"/>
    <w:rsid w:val="00403183"/>
    <w:rsid w:val="00404150"/>
    <w:rsid w:val="004046AA"/>
    <w:rsid w:val="0040550F"/>
    <w:rsid w:val="00405671"/>
    <w:rsid w:val="0040668D"/>
    <w:rsid w:val="0040678E"/>
    <w:rsid w:val="0041029F"/>
    <w:rsid w:val="00410A2A"/>
    <w:rsid w:val="0041211D"/>
    <w:rsid w:val="00412BC2"/>
    <w:rsid w:val="00412D55"/>
    <w:rsid w:val="00412FCD"/>
    <w:rsid w:val="0041308E"/>
    <w:rsid w:val="0041460F"/>
    <w:rsid w:val="004148BC"/>
    <w:rsid w:val="00414CC5"/>
    <w:rsid w:val="004168D5"/>
    <w:rsid w:val="00416FBE"/>
    <w:rsid w:val="00417CAC"/>
    <w:rsid w:val="00420626"/>
    <w:rsid w:val="00421C6E"/>
    <w:rsid w:val="00422367"/>
    <w:rsid w:val="0042246D"/>
    <w:rsid w:val="00422685"/>
    <w:rsid w:val="004239AB"/>
    <w:rsid w:val="00424243"/>
    <w:rsid w:val="00424D2C"/>
    <w:rsid w:val="0042541D"/>
    <w:rsid w:val="00426B60"/>
    <w:rsid w:val="00427675"/>
    <w:rsid w:val="00427A2B"/>
    <w:rsid w:val="00430532"/>
    <w:rsid w:val="0043169B"/>
    <w:rsid w:val="00431A87"/>
    <w:rsid w:val="00431F85"/>
    <w:rsid w:val="004325B1"/>
    <w:rsid w:val="00432F39"/>
    <w:rsid w:val="00433EFE"/>
    <w:rsid w:val="00434A64"/>
    <w:rsid w:val="00434AC4"/>
    <w:rsid w:val="00437768"/>
    <w:rsid w:val="00437864"/>
    <w:rsid w:val="00437B66"/>
    <w:rsid w:val="004405DA"/>
    <w:rsid w:val="0044068D"/>
    <w:rsid w:val="00442C4C"/>
    <w:rsid w:val="004431FB"/>
    <w:rsid w:val="0044480F"/>
    <w:rsid w:val="00444C40"/>
    <w:rsid w:val="004451F0"/>
    <w:rsid w:val="0044609D"/>
    <w:rsid w:val="00446EA1"/>
    <w:rsid w:val="004472E2"/>
    <w:rsid w:val="0045015B"/>
    <w:rsid w:val="004504D9"/>
    <w:rsid w:val="004515F0"/>
    <w:rsid w:val="00454918"/>
    <w:rsid w:val="00454A74"/>
    <w:rsid w:val="0045629E"/>
    <w:rsid w:val="00456321"/>
    <w:rsid w:val="004564EC"/>
    <w:rsid w:val="004568CE"/>
    <w:rsid w:val="00456931"/>
    <w:rsid w:val="00456AD5"/>
    <w:rsid w:val="00460C08"/>
    <w:rsid w:val="00461330"/>
    <w:rsid w:val="004619EB"/>
    <w:rsid w:val="004630D9"/>
    <w:rsid w:val="00463B73"/>
    <w:rsid w:val="004648AC"/>
    <w:rsid w:val="004653B7"/>
    <w:rsid w:val="004659E8"/>
    <w:rsid w:val="00466ADD"/>
    <w:rsid w:val="00466F34"/>
    <w:rsid w:val="004678D7"/>
    <w:rsid w:val="00467BE3"/>
    <w:rsid w:val="00467CB0"/>
    <w:rsid w:val="00470120"/>
    <w:rsid w:val="00471A4D"/>
    <w:rsid w:val="0047298C"/>
    <w:rsid w:val="004744A3"/>
    <w:rsid w:val="00474C10"/>
    <w:rsid w:val="00474D57"/>
    <w:rsid w:val="004762B3"/>
    <w:rsid w:val="004764CF"/>
    <w:rsid w:val="00476C27"/>
    <w:rsid w:val="004772A9"/>
    <w:rsid w:val="00477345"/>
    <w:rsid w:val="00480524"/>
    <w:rsid w:val="0048188F"/>
    <w:rsid w:val="00482B57"/>
    <w:rsid w:val="00484090"/>
    <w:rsid w:val="00484689"/>
    <w:rsid w:val="004856BC"/>
    <w:rsid w:val="00485B2F"/>
    <w:rsid w:val="00486942"/>
    <w:rsid w:val="004906F9"/>
    <w:rsid w:val="00490894"/>
    <w:rsid w:val="0049120A"/>
    <w:rsid w:val="004918F4"/>
    <w:rsid w:val="00492901"/>
    <w:rsid w:val="00492A6C"/>
    <w:rsid w:val="00492F2E"/>
    <w:rsid w:val="00493757"/>
    <w:rsid w:val="00493C1C"/>
    <w:rsid w:val="004944B5"/>
    <w:rsid w:val="004946B3"/>
    <w:rsid w:val="00495457"/>
    <w:rsid w:val="00495478"/>
    <w:rsid w:val="00495A25"/>
    <w:rsid w:val="004966FB"/>
    <w:rsid w:val="00497E6F"/>
    <w:rsid w:val="004A0887"/>
    <w:rsid w:val="004A0DEB"/>
    <w:rsid w:val="004A0FAE"/>
    <w:rsid w:val="004A31BE"/>
    <w:rsid w:val="004A31F6"/>
    <w:rsid w:val="004A3260"/>
    <w:rsid w:val="004A3D4C"/>
    <w:rsid w:val="004A464B"/>
    <w:rsid w:val="004A4B48"/>
    <w:rsid w:val="004A4C27"/>
    <w:rsid w:val="004A50ED"/>
    <w:rsid w:val="004A5A86"/>
    <w:rsid w:val="004A6425"/>
    <w:rsid w:val="004A6D2F"/>
    <w:rsid w:val="004A6ED6"/>
    <w:rsid w:val="004A7A1A"/>
    <w:rsid w:val="004A7BF2"/>
    <w:rsid w:val="004B0157"/>
    <w:rsid w:val="004B15D2"/>
    <w:rsid w:val="004B1D7D"/>
    <w:rsid w:val="004B2F70"/>
    <w:rsid w:val="004B35A2"/>
    <w:rsid w:val="004B3B7E"/>
    <w:rsid w:val="004B420D"/>
    <w:rsid w:val="004B50C8"/>
    <w:rsid w:val="004B55F0"/>
    <w:rsid w:val="004B5856"/>
    <w:rsid w:val="004B5B76"/>
    <w:rsid w:val="004B5BBB"/>
    <w:rsid w:val="004B5F7B"/>
    <w:rsid w:val="004B6559"/>
    <w:rsid w:val="004B6D71"/>
    <w:rsid w:val="004B6E51"/>
    <w:rsid w:val="004B76E3"/>
    <w:rsid w:val="004C0FFF"/>
    <w:rsid w:val="004C163F"/>
    <w:rsid w:val="004C189B"/>
    <w:rsid w:val="004C1D30"/>
    <w:rsid w:val="004C3175"/>
    <w:rsid w:val="004C3631"/>
    <w:rsid w:val="004C472D"/>
    <w:rsid w:val="004C4D6A"/>
    <w:rsid w:val="004C4FAC"/>
    <w:rsid w:val="004C5769"/>
    <w:rsid w:val="004C65C3"/>
    <w:rsid w:val="004C6735"/>
    <w:rsid w:val="004C6799"/>
    <w:rsid w:val="004C6D6E"/>
    <w:rsid w:val="004C7C9C"/>
    <w:rsid w:val="004D0620"/>
    <w:rsid w:val="004D15E4"/>
    <w:rsid w:val="004D26E2"/>
    <w:rsid w:val="004D2D0D"/>
    <w:rsid w:val="004D30A0"/>
    <w:rsid w:val="004D4163"/>
    <w:rsid w:val="004D46A8"/>
    <w:rsid w:val="004D4905"/>
    <w:rsid w:val="004D5207"/>
    <w:rsid w:val="004D5612"/>
    <w:rsid w:val="004D5615"/>
    <w:rsid w:val="004D614E"/>
    <w:rsid w:val="004D63AC"/>
    <w:rsid w:val="004D6B48"/>
    <w:rsid w:val="004D7208"/>
    <w:rsid w:val="004D7293"/>
    <w:rsid w:val="004D7309"/>
    <w:rsid w:val="004D7619"/>
    <w:rsid w:val="004D774F"/>
    <w:rsid w:val="004E0606"/>
    <w:rsid w:val="004E2909"/>
    <w:rsid w:val="004E2B3E"/>
    <w:rsid w:val="004E329A"/>
    <w:rsid w:val="004E3778"/>
    <w:rsid w:val="004E43B7"/>
    <w:rsid w:val="004E5501"/>
    <w:rsid w:val="004E5A5F"/>
    <w:rsid w:val="004E5A91"/>
    <w:rsid w:val="004E6869"/>
    <w:rsid w:val="004E6883"/>
    <w:rsid w:val="004E6CFC"/>
    <w:rsid w:val="004E7258"/>
    <w:rsid w:val="004F0D75"/>
    <w:rsid w:val="004F0F6D"/>
    <w:rsid w:val="004F10BC"/>
    <w:rsid w:val="004F147F"/>
    <w:rsid w:val="004F16F0"/>
    <w:rsid w:val="004F1D02"/>
    <w:rsid w:val="004F28AB"/>
    <w:rsid w:val="004F3424"/>
    <w:rsid w:val="004F3612"/>
    <w:rsid w:val="004F3617"/>
    <w:rsid w:val="004F3CFC"/>
    <w:rsid w:val="004F4B24"/>
    <w:rsid w:val="004F4B3B"/>
    <w:rsid w:val="004F4BE2"/>
    <w:rsid w:val="004F58D3"/>
    <w:rsid w:val="004F6EF4"/>
    <w:rsid w:val="004F7213"/>
    <w:rsid w:val="00500164"/>
    <w:rsid w:val="00500311"/>
    <w:rsid w:val="005009B0"/>
    <w:rsid w:val="00500A86"/>
    <w:rsid w:val="00500AED"/>
    <w:rsid w:val="00500B81"/>
    <w:rsid w:val="0050164C"/>
    <w:rsid w:val="00501A31"/>
    <w:rsid w:val="00501A9B"/>
    <w:rsid w:val="005024FD"/>
    <w:rsid w:val="0050272D"/>
    <w:rsid w:val="00502876"/>
    <w:rsid w:val="0050374E"/>
    <w:rsid w:val="00504E56"/>
    <w:rsid w:val="00504E78"/>
    <w:rsid w:val="00505B92"/>
    <w:rsid w:val="00506E42"/>
    <w:rsid w:val="00507494"/>
    <w:rsid w:val="0050790A"/>
    <w:rsid w:val="00507C89"/>
    <w:rsid w:val="00510AC7"/>
    <w:rsid w:val="00511098"/>
    <w:rsid w:val="0051238D"/>
    <w:rsid w:val="00514A59"/>
    <w:rsid w:val="00514B78"/>
    <w:rsid w:val="0051516A"/>
    <w:rsid w:val="00515391"/>
    <w:rsid w:val="00515527"/>
    <w:rsid w:val="00516116"/>
    <w:rsid w:val="0051640E"/>
    <w:rsid w:val="00516541"/>
    <w:rsid w:val="00517171"/>
    <w:rsid w:val="00517C85"/>
    <w:rsid w:val="00520364"/>
    <w:rsid w:val="0052093C"/>
    <w:rsid w:val="00520B99"/>
    <w:rsid w:val="00521062"/>
    <w:rsid w:val="005215A1"/>
    <w:rsid w:val="00521BA5"/>
    <w:rsid w:val="00521C69"/>
    <w:rsid w:val="00521DE1"/>
    <w:rsid w:val="00522139"/>
    <w:rsid w:val="00522C99"/>
    <w:rsid w:val="00523553"/>
    <w:rsid w:val="00523B9F"/>
    <w:rsid w:val="00523F49"/>
    <w:rsid w:val="00524470"/>
    <w:rsid w:val="00524829"/>
    <w:rsid w:val="005259E3"/>
    <w:rsid w:val="00526567"/>
    <w:rsid w:val="0052789A"/>
    <w:rsid w:val="00527EAB"/>
    <w:rsid w:val="00530EEF"/>
    <w:rsid w:val="0053158B"/>
    <w:rsid w:val="00531AC6"/>
    <w:rsid w:val="00532882"/>
    <w:rsid w:val="00532E99"/>
    <w:rsid w:val="005332F2"/>
    <w:rsid w:val="00533A73"/>
    <w:rsid w:val="00533A99"/>
    <w:rsid w:val="00533B16"/>
    <w:rsid w:val="005344F3"/>
    <w:rsid w:val="005347FE"/>
    <w:rsid w:val="005350BC"/>
    <w:rsid w:val="00535A75"/>
    <w:rsid w:val="00536570"/>
    <w:rsid w:val="00536742"/>
    <w:rsid w:val="005367E9"/>
    <w:rsid w:val="00537285"/>
    <w:rsid w:val="00541147"/>
    <w:rsid w:val="005423EB"/>
    <w:rsid w:val="00542607"/>
    <w:rsid w:val="00543ABC"/>
    <w:rsid w:val="00543F97"/>
    <w:rsid w:val="005440BC"/>
    <w:rsid w:val="005440E3"/>
    <w:rsid w:val="00544273"/>
    <w:rsid w:val="005444BC"/>
    <w:rsid w:val="005455BA"/>
    <w:rsid w:val="0054574D"/>
    <w:rsid w:val="00545968"/>
    <w:rsid w:val="00545E78"/>
    <w:rsid w:val="00546851"/>
    <w:rsid w:val="00546AB6"/>
    <w:rsid w:val="00546CE7"/>
    <w:rsid w:val="0054725D"/>
    <w:rsid w:val="00550EFB"/>
    <w:rsid w:val="00551CC5"/>
    <w:rsid w:val="00551E25"/>
    <w:rsid w:val="0055244D"/>
    <w:rsid w:val="00552A95"/>
    <w:rsid w:val="00553BA2"/>
    <w:rsid w:val="00554684"/>
    <w:rsid w:val="00554692"/>
    <w:rsid w:val="00555AA1"/>
    <w:rsid w:val="00555E73"/>
    <w:rsid w:val="005565E4"/>
    <w:rsid w:val="00557CF1"/>
    <w:rsid w:val="005605C0"/>
    <w:rsid w:val="00560D3A"/>
    <w:rsid w:val="005610C6"/>
    <w:rsid w:val="0056126C"/>
    <w:rsid w:val="005614A7"/>
    <w:rsid w:val="005617C5"/>
    <w:rsid w:val="005618CA"/>
    <w:rsid w:val="0056320B"/>
    <w:rsid w:val="00563D2A"/>
    <w:rsid w:val="00563D99"/>
    <w:rsid w:val="005642C4"/>
    <w:rsid w:val="00564A4E"/>
    <w:rsid w:val="00564EE2"/>
    <w:rsid w:val="005653FC"/>
    <w:rsid w:val="0056668D"/>
    <w:rsid w:val="00566D46"/>
    <w:rsid w:val="00567537"/>
    <w:rsid w:val="00567660"/>
    <w:rsid w:val="0056797A"/>
    <w:rsid w:val="00571CEC"/>
    <w:rsid w:val="00571ED0"/>
    <w:rsid w:val="00571F40"/>
    <w:rsid w:val="005722C8"/>
    <w:rsid w:val="005742D0"/>
    <w:rsid w:val="005748BA"/>
    <w:rsid w:val="0057569C"/>
    <w:rsid w:val="00575CDE"/>
    <w:rsid w:val="00575D38"/>
    <w:rsid w:val="00576312"/>
    <w:rsid w:val="00577231"/>
    <w:rsid w:val="00581DA9"/>
    <w:rsid w:val="00582242"/>
    <w:rsid w:val="00582B51"/>
    <w:rsid w:val="0058358E"/>
    <w:rsid w:val="0058417F"/>
    <w:rsid w:val="005844B3"/>
    <w:rsid w:val="00584D75"/>
    <w:rsid w:val="005853B2"/>
    <w:rsid w:val="005855C9"/>
    <w:rsid w:val="005864A9"/>
    <w:rsid w:val="005864D2"/>
    <w:rsid w:val="005869FE"/>
    <w:rsid w:val="0058743B"/>
    <w:rsid w:val="0058757D"/>
    <w:rsid w:val="0058761E"/>
    <w:rsid w:val="005903FA"/>
    <w:rsid w:val="00591C7D"/>
    <w:rsid w:val="005921AA"/>
    <w:rsid w:val="005927B0"/>
    <w:rsid w:val="0059319B"/>
    <w:rsid w:val="0059546D"/>
    <w:rsid w:val="0059691D"/>
    <w:rsid w:val="005A21B0"/>
    <w:rsid w:val="005A29D3"/>
    <w:rsid w:val="005A306C"/>
    <w:rsid w:val="005A3369"/>
    <w:rsid w:val="005A50C2"/>
    <w:rsid w:val="005A5539"/>
    <w:rsid w:val="005A59F1"/>
    <w:rsid w:val="005A70C8"/>
    <w:rsid w:val="005A7775"/>
    <w:rsid w:val="005A7989"/>
    <w:rsid w:val="005A7ACA"/>
    <w:rsid w:val="005A7EDB"/>
    <w:rsid w:val="005B0033"/>
    <w:rsid w:val="005B0556"/>
    <w:rsid w:val="005B1B64"/>
    <w:rsid w:val="005B25DA"/>
    <w:rsid w:val="005B25FA"/>
    <w:rsid w:val="005B283C"/>
    <w:rsid w:val="005B2C2C"/>
    <w:rsid w:val="005B3CA7"/>
    <w:rsid w:val="005B4652"/>
    <w:rsid w:val="005B4A44"/>
    <w:rsid w:val="005B546E"/>
    <w:rsid w:val="005B5593"/>
    <w:rsid w:val="005B56E0"/>
    <w:rsid w:val="005B74EC"/>
    <w:rsid w:val="005C06EA"/>
    <w:rsid w:val="005C07CC"/>
    <w:rsid w:val="005C1B5B"/>
    <w:rsid w:val="005C268D"/>
    <w:rsid w:val="005C3AC9"/>
    <w:rsid w:val="005C61C7"/>
    <w:rsid w:val="005C6252"/>
    <w:rsid w:val="005C64A6"/>
    <w:rsid w:val="005C6C5E"/>
    <w:rsid w:val="005C6DB2"/>
    <w:rsid w:val="005C6F58"/>
    <w:rsid w:val="005C7D89"/>
    <w:rsid w:val="005D0EE0"/>
    <w:rsid w:val="005D10A3"/>
    <w:rsid w:val="005D21D3"/>
    <w:rsid w:val="005D2531"/>
    <w:rsid w:val="005D2CEF"/>
    <w:rsid w:val="005D5FC8"/>
    <w:rsid w:val="005D62D5"/>
    <w:rsid w:val="005D6777"/>
    <w:rsid w:val="005D78F1"/>
    <w:rsid w:val="005E0247"/>
    <w:rsid w:val="005E0EB9"/>
    <w:rsid w:val="005E2CDE"/>
    <w:rsid w:val="005E2F49"/>
    <w:rsid w:val="005E3C01"/>
    <w:rsid w:val="005E3C84"/>
    <w:rsid w:val="005E3E89"/>
    <w:rsid w:val="005E46C9"/>
    <w:rsid w:val="005E50CF"/>
    <w:rsid w:val="005E575F"/>
    <w:rsid w:val="005E5B38"/>
    <w:rsid w:val="005E6679"/>
    <w:rsid w:val="005E679F"/>
    <w:rsid w:val="005E687B"/>
    <w:rsid w:val="005E7311"/>
    <w:rsid w:val="005E7AC4"/>
    <w:rsid w:val="005F066F"/>
    <w:rsid w:val="005F19DE"/>
    <w:rsid w:val="005F2147"/>
    <w:rsid w:val="005F2A23"/>
    <w:rsid w:val="005F2A3C"/>
    <w:rsid w:val="005F30C6"/>
    <w:rsid w:val="005F3464"/>
    <w:rsid w:val="005F45EE"/>
    <w:rsid w:val="005F64D3"/>
    <w:rsid w:val="005F70C3"/>
    <w:rsid w:val="005F71EC"/>
    <w:rsid w:val="0060141B"/>
    <w:rsid w:val="00602D52"/>
    <w:rsid w:val="00602E59"/>
    <w:rsid w:val="006030DB"/>
    <w:rsid w:val="00603922"/>
    <w:rsid w:val="0060519E"/>
    <w:rsid w:val="00605CCC"/>
    <w:rsid w:val="00606EAF"/>
    <w:rsid w:val="00610774"/>
    <w:rsid w:val="006120D4"/>
    <w:rsid w:val="00612DDA"/>
    <w:rsid w:val="00612E79"/>
    <w:rsid w:val="006149E4"/>
    <w:rsid w:val="00614F3A"/>
    <w:rsid w:val="00615481"/>
    <w:rsid w:val="00615DDE"/>
    <w:rsid w:val="00615EFD"/>
    <w:rsid w:val="00616C32"/>
    <w:rsid w:val="00616DE7"/>
    <w:rsid w:val="00616FF9"/>
    <w:rsid w:val="00617646"/>
    <w:rsid w:val="00617CD6"/>
    <w:rsid w:val="006207A6"/>
    <w:rsid w:val="00620DDE"/>
    <w:rsid w:val="00621CCB"/>
    <w:rsid w:val="00623F9A"/>
    <w:rsid w:val="0062488C"/>
    <w:rsid w:val="006252AD"/>
    <w:rsid w:val="00625796"/>
    <w:rsid w:val="00626C0F"/>
    <w:rsid w:val="00626C52"/>
    <w:rsid w:val="00627F95"/>
    <w:rsid w:val="00630680"/>
    <w:rsid w:val="00631D2E"/>
    <w:rsid w:val="00631FC8"/>
    <w:rsid w:val="0063361E"/>
    <w:rsid w:val="00634DB2"/>
    <w:rsid w:val="00635BB0"/>
    <w:rsid w:val="00635F3E"/>
    <w:rsid w:val="00636274"/>
    <w:rsid w:val="00636479"/>
    <w:rsid w:val="006367F4"/>
    <w:rsid w:val="00636B8F"/>
    <w:rsid w:val="00636E01"/>
    <w:rsid w:val="00637176"/>
    <w:rsid w:val="00640E00"/>
    <w:rsid w:val="00641F49"/>
    <w:rsid w:val="006421B6"/>
    <w:rsid w:val="00642724"/>
    <w:rsid w:val="006430C5"/>
    <w:rsid w:val="00643ECB"/>
    <w:rsid w:val="00643F89"/>
    <w:rsid w:val="00644854"/>
    <w:rsid w:val="00645486"/>
    <w:rsid w:val="00646568"/>
    <w:rsid w:val="006473F9"/>
    <w:rsid w:val="006477AE"/>
    <w:rsid w:val="006500C3"/>
    <w:rsid w:val="00650455"/>
    <w:rsid w:val="00650CB2"/>
    <w:rsid w:val="00651549"/>
    <w:rsid w:val="00653606"/>
    <w:rsid w:val="00653BF2"/>
    <w:rsid w:val="006547EF"/>
    <w:rsid w:val="0065508D"/>
    <w:rsid w:val="00656148"/>
    <w:rsid w:val="00656851"/>
    <w:rsid w:val="00656C27"/>
    <w:rsid w:val="00656D32"/>
    <w:rsid w:val="006605E5"/>
    <w:rsid w:val="00661042"/>
    <w:rsid w:val="00661877"/>
    <w:rsid w:val="00662229"/>
    <w:rsid w:val="006632AB"/>
    <w:rsid w:val="0066360E"/>
    <w:rsid w:val="00663F9C"/>
    <w:rsid w:val="00664E2A"/>
    <w:rsid w:val="006657B6"/>
    <w:rsid w:val="00665A1E"/>
    <w:rsid w:val="00665A75"/>
    <w:rsid w:val="00665A7B"/>
    <w:rsid w:val="00665C68"/>
    <w:rsid w:val="00666D0F"/>
    <w:rsid w:val="00667514"/>
    <w:rsid w:val="0066779E"/>
    <w:rsid w:val="0067174D"/>
    <w:rsid w:val="00671CF9"/>
    <w:rsid w:val="006728AC"/>
    <w:rsid w:val="00672ED0"/>
    <w:rsid w:val="006730CB"/>
    <w:rsid w:val="0067313C"/>
    <w:rsid w:val="00674649"/>
    <w:rsid w:val="006753C9"/>
    <w:rsid w:val="0067544B"/>
    <w:rsid w:val="006766F3"/>
    <w:rsid w:val="00677CDE"/>
    <w:rsid w:val="006805D0"/>
    <w:rsid w:val="006811F1"/>
    <w:rsid w:val="00682FB0"/>
    <w:rsid w:val="00685102"/>
    <w:rsid w:val="00685D09"/>
    <w:rsid w:val="00686A68"/>
    <w:rsid w:val="006909A9"/>
    <w:rsid w:val="00690F98"/>
    <w:rsid w:val="00691C1A"/>
    <w:rsid w:val="00691C5E"/>
    <w:rsid w:val="0069245B"/>
    <w:rsid w:val="00695D50"/>
    <w:rsid w:val="0069781C"/>
    <w:rsid w:val="006A0F38"/>
    <w:rsid w:val="006A1D47"/>
    <w:rsid w:val="006A260E"/>
    <w:rsid w:val="006A27F3"/>
    <w:rsid w:val="006A4388"/>
    <w:rsid w:val="006A477E"/>
    <w:rsid w:val="006A4CFE"/>
    <w:rsid w:val="006A4FE9"/>
    <w:rsid w:val="006A5303"/>
    <w:rsid w:val="006A5A1E"/>
    <w:rsid w:val="006A6440"/>
    <w:rsid w:val="006A648F"/>
    <w:rsid w:val="006A652A"/>
    <w:rsid w:val="006A6DAF"/>
    <w:rsid w:val="006B20D4"/>
    <w:rsid w:val="006B38CA"/>
    <w:rsid w:val="006B3E15"/>
    <w:rsid w:val="006B3E66"/>
    <w:rsid w:val="006B5F71"/>
    <w:rsid w:val="006B70F2"/>
    <w:rsid w:val="006B782A"/>
    <w:rsid w:val="006B783F"/>
    <w:rsid w:val="006B7A98"/>
    <w:rsid w:val="006C15EE"/>
    <w:rsid w:val="006C27B1"/>
    <w:rsid w:val="006C3249"/>
    <w:rsid w:val="006C3F5C"/>
    <w:rsid w:val="006C4FE9"/>
    <w:rsid w:val="006C522E"/>
    <w:rsid w:val="006C5CBC"/>
    <w:rsid w:val="006C6807"/>
    <w:rsid w:val="006C690D"/>
    <w:rsid w:val="006D0254"/>
    <w:rsid w:val="006D0909"/>
    <w:rsid w:val="006D0CF4"/>
    <w:rsid w:val="006D1141"/>
    <w:rsid w:val="006D2A1E"/>
    <w:rsid w:val="006D497A"/>
    <w:rsid w:val="006D4B84"/>
    <w:rsid w:val="006D4CCA"/>
    <w:rsid w:val="006D5118"/>
    <w:rsid w:val="006D630C"/>
    <w:rsid w:val="006D64A0"/>
    <w:rsid w:val="006D7C80"/>
    <w:rsid w:val="006E11F1"/>
    <w:rsid w:val="006E1871"/>
    <w:rsid w:val="006E1A28"/>
    <w:rsid w:val="006E1B2E"/>
    <w:rsid w:val="006E2592"/>
    <w:rsid w:val="006E2AEF"/>
    <w:rsid w:val="006E2F0E"/>
    <w:rsid w:val="006E35CF"/>
    <w:rsid w:val="006E43D4"/>
    <w:rsid w:val="006E454A"/>
    <w:rsid w:val="006E56E1"/>
    <w:rsid w:val="006E57BB"/>
    <w:rsid w:val="006E5A1A"/>
    <w:rsid w:val="006E6119"/>
    <w:rsid w:val="006E625E"/>
    <w:rsid w:val="006E7603"/>
    <w:rsid w:val="006E7A18"/>
    <w:rsid w:val="006F1892"/>
    <w:rsid w:val="006F1B3F"/>
    <w:rsid w:val="006F289D"/>
    <w:rsid w:val="006F2CFA"/>
    <w:rsid w:val="006F32D1"/>
    <w:rsid w:val="006F4A0F"/>
    <w:rsid w:val="006F5333"/>
    <w:rsid w:val="006F538B"/>
    <w:rsid w:val="006F5398"/>
    <w:rsid w:val="006F56D3"/>
    <w:rsid w:val="006F5BF5"/>
    <w:rsid w:val="006F6150"/>
    <w:rsid w:val="006F64DD"/>
    <w:rsid w:val="006F6773"/>
    <w:rsid w:val="006F6A3F"/>
    <w:rsid w:val="006F72F3"/>
    <w:rsid w:val="007006BB"/>
    <w:rsid w:val="00701F12"/>
    <w:rsid w:val="00702003"/>
    <w:rsid w:val="007022F9"/>
    <w:rsid w:val="007030F1"/>
    <w:rsid w:val="0070398E"/>
    <w:rsid w:val="00703AF3"/>
    <w:rsid w:val="00703EEF"/>
    <w:rsid w:val="0070409D"/>
    <w:rsid w:val="007050E5"/>
    <w:rsid w:val="00705E7A"/>
    <w:rsid w:val="0070635A"/>
    <w:rsid w:val="0070718B"/>
    <w:rsid w:val="00707464"/>
    <w:rsid w:val="00707B3A"/>
    <w:rsid w:val="00707BE0"/>
    <w:rsid w:val="0071063A"/>
    <w:rsid w:val="00710A49"/>
    <w:rsid w:val="007116FB"/>
    <w:rsid w:val="007119FA"/>
    <w:rsid w:val="00712040"/>
    <w:rsid w:val="00713B89"/>
    <w:rsid w:val="00713EC4"/>
    <w:rsid w:val="0071471F"/>
    <w:rsid w:val="00714809"/>
    <w:rsid w:val="007149AD"/>
    <w:rsid w:val="00714B50"/>
    <w:rsid w:val="00715D41"/>
    <w:rsid w:val="00716196"/>
    <w:rsid w:val="0071665D"/>
    <w:rsid w:val="00716E5B"/>
    <w:rsid w:val="00717234"/>
    <w:rsid w:val="00720519"/>
    <w:rsid w:val="00720703"/>
    <w:rsid w:val="00720840"/>
    <w:rsid w:val="00720C27"/>
    <w:rsid w:val="00721F38"/>
    <w:rsid w:val="007229BC"/>
    <w:rsid w:val="00722D55"/>
    <w:rsid w:val="007235AF"/>
    <w:rsid w:val="00723F70"/>
    <w:rsid w:val="007241EE"/>
    <w:rsid w:val="00724CAB"/>
    <w:rsid w:val="007250D6"/>
    <w:rsid w:val="007253A1"/>
    <w:rsid w:val="00725C23"/>
    <w:rsid w:val="00726099"/>
    <w:rsid w:val="00727415"/>
    <w:rsid w:val="00727573"/>
    <w:rsid w:val="007278B0"/>
    <w:rsid w:val="0073071E"/>
    <w:rsid w:val="0073102E"/>
    <w:rsid w:val="00731B2F"/>
    <w:rsid w:val="00732830"/>
    <w:rsid w:val="0073311F"/>
    <w:rsid w:val="00734D71"/>
    <w:rsid w:val="00734FF5"/>
    <w:rsid w:val="00735CAA"/>
    <w:rsid w:val="007369F6"/>
    <w:rsid w:val="0073782C"/>
    <w:rsid w:val="00740518"/>
    <w:rsid w:val="007405D3"/>
    <w:rsid w:val="007409E0"/>
    <w:rsid w:val="007419C7"/>
    <w:rsid w:val="00742229"/>
    <w:rsid w:val="00742312"/>
    <w:rsid w:val="007429E7"/>
    <w:rsid w:val="00742E81"/>
    <w:rsid w:val="0074459A"/>
    <w:rsid w:val="0074569D"/>
    <w:rsid w:val="00745D7C"/>
    <w:rsid w:val="00746C10"/>
    <w:rsid w:val="00746EDC"/>
    <w:rsid w:val="00750205"/>
    <w:rsid w:val="007505D7"/>
    <w:rsid w:val="00751BFD"/>
    <w:rsid w:val="00753C9F"/>
    <w:rsid w:val="00756180"/>
    <w:rsid w:val="0075618D"/>
    <w:rsid w:val="00756E9A"/>
    <w:rsid w:val="00761496"/>
    <w:rsid w:val="00762634"/>
    <w:rsid w:val="00763209"/>
    <w:rsid w:val="00763765"/>
    <w:rsid w:val="00763C00"/>
    <w:rsid w:val="0076505C"/>
    <w:rsid w:val="00765C1F"/>
    <w:rsid w:val="007669B7"/>
    <w:rsid w:val="00770C3B"/>
    <w:rsid w:val="00770EF6"/>
    <w:rsid w:val="0077156E"/>
    <w:rsid w:val="007718EC"/>
    <w:rsid w:val="00771DBD"/>
    <w:rsid w:val="00772B7B"/>
    <w:rsid w:val="00772C55"/>
    <w:rsid w:val="007735C0"/>
    <w:rsid w:val="00776017"/>
    <w:rsid w:val="0077647D"/>
    <w:rsid w:val="00777D95"/>
    <w:rsid w:val="00777DD7"/>
    <w:rsid w:val="007800EF"/>
    <w:rsid w:val="007812B9"/>
    <w:rsid w:val="00781329"/>
    <w:rsid w:val="00781364"/>
    <w:rsid w:val="007821BE"/>
    <w:rsid w:val="0078282F"/>
    <w:rsid w:val="00782F64"/>
    <w:rsid w:val="00783A58"/>
    <w:rsid w:val="00784E2B"/>
    <w:rsid w:val="00785629"/>
    <w:rsid w:val="00785958"/>
    <w:rsid w:val="007860D1"/>
    <w:rsid w:val="007864CF"/>
    <w:rsid w:val="0078706A"/>
    <w:rsid w:val="007871E1"/>
    <w:rsid w:val="007876CF"/>
    <w:rsid w:val="007902E9"/>
    <w:rsid w:val="00791224"/>
    <w:rsid w:val="00791B6C"/>
    <w:rsid w:val="00791CC0"/>
    <w:rsid w:val="007925FE"/>
    <w:rsid w:val="00794F82"/>
    <w:rsid w:val="00795158"/>
    <w:rsid w:val="007961A3"/>
    <w:rsid w:val="0079697C"/>
    <w:rsid w:val="00796C58"/>
    <w:rsid w:val="00796E5D"/>
    <w:rsid w:val="007971DF"/>
    <w:rsid w:val="007A014F"/>
    <w:rsid w:val="007A1180"/>
    <w:rsid w:val="007A16D4"/>
    <w:rsid w:val="007A20C4"/>
    <w:rsid w:val="007A484B"/>
    <w:rsid w:val="007A540A"/>
    <w:rsid w:val="007A569A"/>
    <w:rsid w:val="007A639C"/>
    <w:rsid w:val="007A64D0"/>
    <w:rsid w:val="007A7790"/>
    <w:rsid w:val="007A79E5"/>
    <w:rsid w:val="007B025B"/>
    <w:rsid w:val="007B0983"/>
    <w:rsid w:val="007B102A"/>
    <w:rsid w:val="007B150A"/>
    <w:rsid w:val="007B25DA"/>
    <w:rsid w:val="007B3005"/>
    <w:rsid w:val="007B3DB9"/>
    <w:rsid w:val="007B4182"/>
    <w:rsid w:val="007B41AB"/>
    <w:rsid w:val="007B4791"/>
    <w:rsid w:val="007B4BD6"/>
    <w:rsid w:val="007B4C15"/>
    <w:rsid w:val="007B6BB1"/>
    <w:rsid w:val="007B7ED2"/>
    <w:rsid w:val="007C002E"/>
    <w:rsid w:val="007C1C28"/>
    <w:rsid w:val="007C1E96"/>
    <w:rsid w:val="007C3785"/>
    <w:rsid w:val="007C3CE1"/>
    <w:rsid w:val="007C4637"/>
    <w:rsid w:val="007C5063"/>
    <w:rsid w:val="007C6082"/>
    <w:rsid w:val="007C71A9"/>
    <w:rsid w:val="007C7282"/>
    <w:rsid w:val="007C74B7"/>
    <w:rsid w:val="007C74FD"/>
    <w:rsid w:val="007C77AB"/>
    <w:rsid w:val="007D0238"/>
    <w:rsid w:val="007D02C9"/>
    <w:rsid w:val="007D02DA"/>
    <w:rsid w:val="007D134E"/>
    <w:rsid w:val="007D1987"/>
    <w:rsid w:val="007D400C"/>
    <w:rsid w:val="007D40E0"/>
    <w:rsid w:val="007D548F"/>
    <w:rsid w:val="007D55B4"/>
    <w:rsid w:val="007D5671"/>
    <w:rsid w:val="007D59CC"/>
    <w:rsid w:val="007D5F7D"/>
    <w:rsid w:val="007D68E6"/>
    <w:rsid w:val="007E0BD0"/>
    <w:rsid w:val="007E4989"/>
    <w:rsid w:val="007E4F35"/>
    <w:rsid w:val="007E4FEE"/>
    <w:rsid w:val="007E528A"/>
    <w:rsid w:val="007E583E"/>
    <w:rsid w:val="007E5EC8"/>
    <w:rsid w:val="007E6298"/>
    <w:rsid w:val="007E6BB3"/>
    <w:rsid w:val="007E762C"/>
    <w:rsid w:val="007E7995"/>
    <w:rsid w:val="007E7F85"/>
    <w:rsid w:val="007F0DD5"/>
    <w:rsid w:val="007F1849"/>
    <w:rsid w:val="007F1A5E"/>
    <w:rsid w:val="007F1C6F"/>
    <w:rsid w:val="007F2882"/>
    <w:rsid w:val="007F2A15"/>
    <w:rsid w:val="007F2FBF"/>
    <w:rsid w:val="007F3321"/>
    <w:rsid w:val="007F3ADA"/>
    <w:rsid w:val="007F53C5"/>
    <w:rsid w:val="007F5805"/>
    <w:rsid w:val="007F5C91"/>
    <w:rsid w:val="007F5F2F"/>
    <w:rsid w:val="008000D2"/>
    <w:rsid w:val="0080036D"/>
    <w:rsid w:val="00800534"/>
    <w:rsid w:val="00802196"/>
    <w:rsid w:val="00804673"/>
    <w:rsid w:val="00804AE7"/>
    <w:rsid w:val="008050A2"/>
    <w:rsid w:val="00806B93"/>
    <w:rsid w:val="00810425"/>
    <w:rsid w:val="008105E8"/>
    <w:rsid w:val="00811104"/>
    <w:rsid w:val="008117CC"/>
    <w:rsid w:val="00812014"/>
    <w:rsid w:val="00812E27"/>
    <w:rsid w:val="00812EA1"/>
    <w:rsid w:val="00812F3F"/>
    <w:rsid w:val="00813522"/>
    <w:rsid w:val="00814050"/>
    <w:rsid w:val="0081478A"/>
    <w:rsid w:val="008155C7"/>
    <w:rsid w:val="008170FD"/>
    <w:rsid w:val="00817920"/>
    <w:rsid w:val="0082105A"/>
    <w:rsid w:val="00821885"/>
    <w:rsid w:val="00821CE2"/>
    <w:rsid w:val="008232BF"/>
    <w:rsid w:val="008242FA"/>
    <w:rsid w:val="00825A90"/>
    <w:rsid w:val="00825B46"/>
    <w:rsid w:val="00826725"/>
    <w:rsid w:val="008267BC"/>
    <w:rsid w:val="00826840"/>
    <w:rsid w:val="00826B72"/>
    <w:rsid w:val="00826CA4"/>
    <w:rsid w:val="00827313"/>
    <w:rsid w:val="0082764E"/>
    <w:rsid w:val="008317E3"/>
    <w:rsid w:val="00831EF7"/>
    <w:rsid w:val="00832270"/>
    <w:rsid w:val="00832F0C"/>
    <w:rsid w:val="008346DF"/>
    <w:rsid w:val="00834919"/>
    <w:rsid w:val="00834B0D"/>
    <w:rsid w:val="00835DE3"/>
    <w:rsid w:val="00836D8B"/>
    <w:rsid w:val="0083708C"/>
    <w:rsid w:val="00837129"/>
    <w:rsid w:val="00837841"/>
    <w:rsid w:val="00837AA1"/>
    <w:rsid w:val="0084051F"/>
    <w:rsid w:val="00840BE0"/>
    <w:rsid w:val="00840FFB"/>
    <w:rsid w:val="00841988"/>
    <w:rsid w:val="00843101"/>
    <w:rsid w:val="00843B7A"/>
    <w:rsid w:val="00843F15"/>
    <w:rsid w:val="00843F46"/>
    <w:rsid w:val="00843FE4"/>
    <w:rsid w:val="008440CE"/>
    <w:rsid w:val="00844A98"/>
    <w:rsid w:val="008465D4"/>
    <w:rsid w:val="008466F5"/>
    <w:rsid w:val="008472D0"/>
    <w:rsid w:val="00847B84"/>
    <w:rsid w:val="008500D0"/>
    <w:rsid w:val="00850348"/>
    <w:rsid w:val="00850A62"/>
    <w:rsid w:val="008514C1"/>
    <w:rsid w:val="00851744"/>
    <w:rsid w:val="00851A66"/>
    <w:rsid w:val="0085235D"/>
    <w:rsid w:val="008525C7"/>
    <w:rsid w:val="00852D18"/>
    <w:rsid w:val="008533B2"/>
    <w:rsid w:val="00853557"/>
    <w:rsid w:val="00853CAB"/>
    <w:rsid w:val="008552EE"/>
    <w:rsid w:val="00855B93"/>
    <w:rsid w:val="00855C2E"/>
    <w:rsid w:val="00857606"/>
    <w:rsid w:val="00857C93"/>
    <w:rsid w:val="00857F5E"/>
    <w:rsid w:val="00860310"/>
    <w:rsid w:val="008613B7"/>
    <w:rsid w:val="00861CE1"/>
    <w:rsid w:val="008632A1"/>
    <w:rsid w:val="00864365"/>
    <w:rsid w:val="00864C37"/>
    <w:rsid w:val="00864CED"/>
    <w:rsid w:val="00865458"/>
    <w:rsid w:val="008658E1"/>
    <w:rsid w:val="00866165"/>
    <w:rsid w:val="008661C7"/>
    <w:rsid w:val="008662FA"/>
    <w:rsid w:val="008666A6"/>
    <w:rsid w:val="008668D0"/>
    <w:rsid w:val="00866A33"/>
    <w:rsid w:val="00866E76"/>
    <w:rsid w:val="00871257"/>
    <w:rsid w:val="00871312"/>
    <w:rsid w:val="008734A0"/>
    <w:rsid w:val="008739B1"/>
    <w:rsid w:val="00874BB3"/>
    <w:rsid w:val="00874BE9"/>
    <w:rsid w:val="00874FED"/>
    <w:rsid w:val="00875810"/>
    <w:rsid w:val="00875EE3"/>
    <w:rsid w:val="0087695C"/>
    <w:rsid w:val="008778A0"/>
    <w:rsid w:val="00877A37"/>
    <w:rsid w:val="00877B7C"/>
    <w:rsid w:val="00877C29"/>
    <w:rsid w:val="008808E4"/>
    <w:rsid w:val="00880969"/>
    <w:rsid w:val="0088138F"/>
    <w:rsid w:val="00881707"/>
    <w:rsid w:val="00881B9D"/>
    <w:rsid w:val="00881DF3"/>
    <w:rsid w:val="00883C08"/>
    <w:rsid w:val="00883C58"/>
    <w:rsid w:val="00884213"/>
    <w:rsid w:val="0088594D"/>
    <w:rsid w:val="00885E3A"/>
    <w:rsid w:val="00886BD1"/>
    <w:rsid w:val="00886EEF"/>
    <w:rsid w:val="00886FBA"/>
    <w:rsid w:val="008871FD"/>
    <w:rsid w:val="00887D55"/>
    <w:rsid w:val="008904DC"/>
    <w:rsid w:val="00890F92"/>
    <w:rsid w:val="00891E3A"/>
    <w:rsid w:val="00891F17"/>
    <w:rsid w:val="00891F4D"/>
    <w:rsid w:val="00892376"/>
    <w:rsid w:val="00893132"/>
    <w:rsid w:val="0089359F"/>
    <w:rsid w:val="00893706"/>
    <w:rsid w:val="00893CF3"/>
    <w:rsid w:val="00893EE3"/>
    <w:rsid w:val="0089461D"/>
    <w:rsid w:val="00894823"/>
    <w:rsid w:val="008949C8"/>
    <w:rsid w:val="00895BF3"/>
    <w:rsid w:val="00895CBC"/>
    <w:rsid w:val="00895DEC"/>
    <w:rsid w:val="00896F1F"/>
    <w:rsid w:val="008975E2"/>
    <w:rsid w:val="00897EB3"/>
    <w:rsid w:val="008A02FF"/>
    <w:rsid w:val="008A087B"/>
    <w:rsid w:val="008A1086"/>
    <w:rsid w:val="008A13B3"/>
    <w:rsid w:val="008A2C60"/>
    <w:rsid w:val="008A36C5"/>
    <w:rsid w:val="008A4ECF"/>
    <w:rsid w:val="008A6318"/>
    <w:rsid w:val="008A6493"/>
    <w:rsid w:val="008A6516"/>
    <w:rsid w:val="008A664D"/>
    <w:rsid w:val="008A6A0F"/>
    <w:rsid w:val="008B03F7"/>
    <w:rsid w:val="008B0856"/>
    <w:rsid w:val="008B0B04"/>
    <w:rsid w:val="008B0B15"/>
    <w:rsid w:val="008B0DD2"/>
    <w:rsid w:val="008B2BF2"/>
    <w:rsid w:val="008B302B"/>
    <w:rsid w:val="008B3444"/>
    <w:rsid w:val="008B3556"/>
    <w:rsid w:val="008B3983"/>
    <w:rsid w:val="008B3F98"/>
    <w:rsid w:val="008B48D7"/>
    <w:rsid w:val="008B4D80"/>
    <w:rsid w:val="008B4ED2"/>
    <w:rsid w:val="008B7190"/>
    <w:rsid w:val="008B73AE"/>
    <w:rsid w:val="008B75C4"/>
    <w:rsid w:val="008B796B"/>
    <w:rsid w:val="008B7D27"/>
    <w:rsid w:val="008C021C"/>
    <w:rsid w:val="008C1B4A"/>
    <w:rsid w:val="008C1B76"/>
    <w:rsid w:val="008C2E35"/>
    <w:rsid w:val="008C352B"/>
    <w:rsid w:val="008C3A31"/>
    <w:rsid w:val="008C434C"/>
    <w:rsid w:val="008C4B40"/>
    <w:rsid w:val="008C5AC5"/>
    <w:rsid w:val="008C5EF6"/>
    <w:rsid w:val="008C6378"/>
    <w:rsid w:val="008C66C7"/>
    <w:rsid w:val="008C6A0D"/>
    <w:rsid w:val="008C6EC0"/>
    <w:rsid w:val="008D06EF"/>
    <w:rsid w:val="008D154F"/>
    <w:rsid w:val="008D18FB"/>
    <w:rsid w:val="008D24F8"/>
    <w:rsid w:val="008D3689"/>
    <w:rsid w:val="008D54F0"/>
    <w:rsid w:val="008D66CE"/>
    <w:rsid w:val="008D6875"/>
    <w:rsid w:val="008E1044"/>
    <w:rsid w:val="008E272A"/>
    <w:rsid w:val="008E2ACD"/>
    <w:rsid w:val="008E2EC1"/>
    <w:rsid w:val="008E44F7"/>
    <w:rsid w:val="008E69D5"/>
    <w:rsid w:val="008E76BF"/>
    <w:rsid w:val="008E7BEB"/>
    <w:rsid w:val="008E7E2A"/>
    <w:rsid w:val="008E7EED"/>
    <w:rsid w:val="008F11C5"/>
    <w:rsid w:val="008F1C6A"/>
    <w:rsid w:val="008F26D5"/>
    <w:rsid w:val="008F2D75"/>
    <w:rsid w:val="008F2DDC"/>
    <w:rsid w:val="008F2DF1"/>
    <w:rsid w:val="008F40E3"/>
    <w:rsid w:val="008F4865"/>
    <w:rsid w:val="008F4911"/>
    <w:rsid w:val="008F5D53"/>
    <w:rsid w:val="008F5FA3"/>
    <w:rsid w:val="008F6671"/>
    <w:rsid w:val="008F668A"/>
    <w:rsid w:val="008F6758"/>
    <w:rsid w:val="008F72CA"/>
    <w:rsid w:val="008F731E"/>
    <w:rsid w:val="008F76E5"/>
    <w:rsid w:val="008F7B65"/>
    <w:rsid w:val="00901521"/>
    <w:rsid w:val="00901724"/>
    <w:rsid w:val="0090197A"/>
    <w:rsid w:val="00901AB4"/>
    <w:rsid w:val="00902161"/>
    <w:rsid w:val="00902B7B"/>
    <w:rsid w:val="00903AF6"/>
    <w:rsid w:val="00904B70"/>
    <w:rsid w:val="00904E2D"/>
    <w:rsid w:val="00905111"/>
    <w:rsid w:val="00906375"/>
    <w:rsid w:val="009067A5"/>
    <w:rsid w:val="00906DD0"/>
    <w:rsid w:val="00907082"/>
    <w:rsid w:val="00910EA3"/>
    <w:rsid w:val="00911693"/>
    <w:rsid w:val="00911E5E"/>
    <w:rsid w:val="0091207E"/>
    <w:rsid w:val="00912736"/>
    <w:rsid w:val="00912B81"/>
    <w:rsid w:val="0091364D"/>
    <w:rsid w:val="00914101"/>
    <w:rsid w:val="009157E7"/>
    <w:rsid w:val="00916C1E"/>
    <w:rsid w:val="009171C4"/>
    <w:rsid w:val="009212BE"/>
    <w:rsid w:val="0092285F"/>
    <w:rsid w:val="00922FBE"/>
    <w:rsid w:val="00923752"/>
    <w:rsid w:val="00924CE9"/>
    <w:rsid w:val="0092527C"/>
    <w:rsid w:val="00926366"/>
    <w:rsid w:val="009265FD"/>
    <w:rsid w:val="0092681C"/>
    <w:rsid w:val="00926C4D"/>
    <w:rsid w:val="00926D2C"/>
    <w:rsid w:val="00926D3C"/>
    <w:rsid w:val="00926F01"/>
    <w:rsid w:val="00926F13"/>
    <w:rsid w:val="00930151"/>
    <w:rsid w:val="009302D2"/>
    <w:rsid w:val="00930BD2"/>
    <w:rsid w:val="00931D3E"/>
    <w:rsid w:val="0093292B"/>
    <w:rsid w:val="00933948"/>
    <w:rsid w:val="0093659E"/>
    <w:rsid w:val="009369EF"/>
    <w:rsid w:val="00937640"/>
    <w:rsid w:val="00940E19"/>
    <w:rsid w:val="00942951"/>
    <w:rsid w:val="009429DA"/>
    <w:rsid w:val="00944488"/>
    <w:rsid w:val="009461D9"/>
    <w:rsid w:val="00946845"/>
    <w:rsid w:val="0094788E"/>
    <w:rsid w:val="00947F52"/>
    <w:rsid w:val="009503A7"/>
    <w:rsid w:val="00950E1F"/>
    <w:rsid w:val="00952276"/>
    <w:rsid w:val="009528F8"/>
    <w:rsid w:val="00953A40"/>
    <w:rsid w:val="00954351"/>
    <w:rsid w:val="009550B7"/>
    <w:rsid w:val="00956811"/>
    <w:rsid w:val="00956CFE"/>
    <w:rsid w:val="0095778A"/>
    <w:rsid w:val="009612D3"/>
    <w:rsid w:val="00961E23"/>
    <w:rsid w:val="00963D87"/>
    <w:rsid w:val="00963EC8"/>
    <w:rsid w:val="009646B3"/>
    <w:rsid w:val="00966CA7"/>
    <w:rsid w:val="00970AE5"/>
    <w:rsid w:val="00970DB6"/>
    <w:rsid w:val="0097189A"/>
    <w:rsid w:val="00975E06"/>
    <w:rsid w:val="0097681C"/>
    <w:rsid w:val="0097779A"/>
    <w:rsid w:val="0098117B"/>
    <w:rsid w:val="0098237D"/>
    <w:rsid w:val="00984B06"/>
    <w:rsid w:val="0098507A"/>
    <w:rsid w:val="00986850"/>
    <w:rsid w:val="00986BB7"/>
    <w:rsid w:val="0098715F"/>
    <w:rsid w:val="0098746E"/>
    <w:rsid w:val="00990EC1"/>
    <w:rsid w:val="00991FDA"/>
    <w:rsid w:val="009925AD"/>
    <w:rsid w:val="00992C44"/>
    <w:rsid w:val="00994377"/>
    <w:rsid w:val="009944DA"/>
    <w:rsid w:val="0099475F"/>
    <w:rsid w:val="0099519A"/>
    <w:rsid w:val="00995A0D"/>
    <w:rsid w:val="00995A9A"/>
    <w:rsid w:val="00996E59"/>
    <w:rsid w:val="00997B86"/>
    <w:rsid w:val="009A11CC"/>
    <w:rsid w:val="009A1E08"/>
    <w:rsid w:val="009A2174"/>
    <w:rsid w:val="009A2D0B"/>
    <w:rsid w:val="009A2FF1"/>
    <w:rsid w:val="009A393E"/>
    <w:rsid w:val="009A3B81"/>
    <w:rsid w:val="009A5906"/>
    <w:rsid w:val="009A61DD"/>
    <w:rsid w:val="009A6E65"/>
    <w:rsid w:val="009A751B"/>
    <w:rsid w:val="009A76B3"/>
    <w:rsid w:val="009B0D26"/>
    <w:rsid w:val="009B1BE3"/>
    <w:rsid w:val="009B1C51"/>
    <w:rsid w:val="009B2A18"/>
    <w:rsid w:val="009B41BC"/>
    <w:rsid w:val="009B4EBD"/>
    <w:rsid w:val="009B6281"/>
    <w:rsid w:val="009B6627"/>
    <w:rsid w:val="009B6982"/>
    <w:rsid w:val="009B6B9F"/>
    <w:rsid w:val="009B7EBF"/>
    <w:rsid w:val="009B7EC1"/>
    <w:rsid w:val="009C01C1"/>
    <w:rsid w:val="009C1264"/>
    <w:rsid w:val="009C1BD1"/>
    <w:rsid w:val="009C2CBD"/>
    <w:rsid w:val="009C2D1A"/>
    <w:rsid w:val="009C2DF6"/>
    <w:rsid w:val="009C3839"/>
    <w:rsid w:val="009C44C4"/>
    <w:rsid w:val="009C4846"/>
    <w:rsid w:val="009C48A3"/>
    <w:rsid w:val="009C5B12"/>
    <w:rsid w:val="009C5B55"/>
    <w:rsid w:val="009C752C"/>
    <w:rsid w:val="009C7900"/>
    <w:rsid w:val="009D0B1A"/>
    <w:rsid w:val="009D0D57"/>
    <w:rsid w:val="009D18BF"/>
    <w:rsid w:val="009D31BD"/>
    <w:rsid w:val="009D31F7"/>
    <w:rsid w:val="009D5C9B"/>
    <w:rsid w:val="009D6B57"/>
    <w:rsid w:val="009D6BE9"/>
    <w:rsid w:val="009D7156"/>
    <w:rsid w:val="009D76A7"/>
    <w:rsid w:val="009E010E"/>
    <w:rsid w:val="009E0158"/>
    <w:rsid w:val="009E0FE3"/>
    <w:rsid w:val="009E1B1E"/>
    <w:rsid w:val="009E1C55"/>
    <w:rsid w:val="009E1E48"/>
    <w:rsid w:val="009E25C5"/>
    <w:rsid w:val="009E286A"/>
    <w:rsid w:val="009E28C4"/>
    <w:rsid w:val="009E2A63"/>
    <w:rsid w:val="009E3BDC"/>
    <w:rsid w:val="009E3FDF"/>
    <w:rsid w:val="009E4222"/>
    <w:rsid w:val="009E523C"/>
    <w:rsid w:val="009E58BF"/>
    <w:rsid w:val="009E5E90"/>
    <w:rsid w:val="009E61A4"/>
    <w:rsid w:val="009F016D"/>
    <w:rsid w:val="009F11B3"/>
    <w:rsid w:val="009F28C1"/>
    <w:rsid w:val="009F3AB6"/>
    <w:rsid w:val="009F3C1B"/>
    <w:rsid w:val="009F4724"/>
    <w:rsid w:val="009F4AA8"/>
    <w:rsid w:val="009F6219"/>
    <w:rsid w:val="009F7490"/>
    <w:rsid w:val="009F76F0"/>
    <w:rsid w:val="00A009E2"/>
    <w:rsid w:val="00A00E27"/>
    <w:rsid w:val="00A02083"/>
    <w:rsid w:val="00A0446D"/>
    <w:rsid w:val="00A04808"/>
    <w:rsid w:val="00A061A7"/>
    <w:rsid w:val="00A06847"/>
    <w:rsid w:val="00A07138"/>
    <w:rsid w:val="00A07C98"/>
    <w:rsid w:val="00A10184"/>
    <w:rsid w:val="00A10C83"/>
    <w:rsid w:val="00A1100B"/>
    <w:rsid w:val="00A11A34"/>
    <w:rsid w:val="00A12BAE"/>
    <w:rsid w:val="00A12CAD"/>
    <w:rsid w:val="00A13A76"/>
    <w:rsid w:val="00A14F4F"/>
    <w:rsid w:val="00A15CFF"/>
    <w:rsid w:val="00A174DF"/>
    <w:rsid w:val="00A20900"/>
    <w:rsid w:val="00A20BFF"/>
    <w:rsid w:val="00A21AD4"/>
    <w:rsid w:val="00A22AB6"/>
    <w:rsid w:val="00A23225"/>
    <w:rsid w:val="00A234A5"/>
    <w:rsid w:val="00A238E9"/>
    <w:rsid w:val="00A23BB3"/>
    <w:rsid w:val="00A24C20"/>
    <w:rsid w:val="00A2743F"/>
    <w:rsid w:val="00A276AA"/>
    <w:rsid w:val="00A27BBC"/>
    <w:rsid w:val="00A27EEF"/>
    <w:rsid w:val="00A27F0D"/>
    <w:rsid w:val="00A307CA"/>
    <w:rsid w:val="00A308DA"/>
    <w:rsid w:val="00A31497"/>
    <w:rsid w:val="00A31DBD"/>
    <w:rsid w:val="00A31EB9"/>
    <w:rsid w:val="00A3258A"/>
    <w:rsid w:val="00A332C6"/>
    <w:rsid w:val="00A34111"/>
    <w:rsid w:val="00A3433E"/>
    <w:rsid w:val="00A34E5C"/>
    <w:rsid w:val="00A3578F"/>
    <w:rsid w:val="00A35B18"/>
    <w:rsid w:val="00A35BD2"/>
    <w:rsid w:val="00A366E4"/>
    <w:rsid w:val="00A369AD"/>
    <w:rsid w:val="00A40C9B"/>
    <w:rsid w:val="00A40DB2"/>
    <w:rsid w:val="00A4262C"/>
    <w:rsid w:val="00A42690"/>
    <w:rsid w:val="00A42F8E"/>
    <w:rsid w:val="00A43469"/>
    <w:rsid w:val="00A43506"/>
    <w:rsid w:val="00A43BAF"/>
    <w:rsid w:val="00A46601"/>
    <w:rsid w:val="00A468E2"/>
    <w:rsid w:val="00A4772B"/>
    <w:rsid w:val="00A47DEE"/>
    <w:rsid w:val="00A51190"/>
    <w:rsid w:val="00A52B74"/>
    <w:rsid w:val="00A52F20"/>
    <w:rsid w:val="00A53015"/>
    <w:rsid w:val="00A537FD"/>
    <w:rsid w:val="00A5458D"/>
    <w:rsid w:val="00A54DB1"/>
    <w:rsid w:val="00A550B7"/>
    <w:rsid w:val="00A553D9"/>
    <w:rsid w:val="00A558AB"/>
    <w:rsid w:val="00A56333"/>
    <w:rsid w:val="00A56A4D"/>
    <w:rsid w:val="00A6050F"/>
    <w:rsid w:val="00A605E5"/>
    <w:rsid w:val="00A6266B"/>
    <w:rsid w:val="00A6274E"/>
    <w:rsid w:val="00A6357E"/>
    <w:rsid w:val="00A635CC"/>
    <w:rsid w:val="00A6367F"/>
    <w:rsid w:val="00A63824"/>
    <w:rsid w:val="00A65E0B"/>
    <w:rsid w:val="00A6671A"/>
    <w:rsid w:val="00A673B7"/>
    <w:rsid w:val="00A67DE7"/>
    <w:rsid w:val="00A704DF"/>
    <w:rsid w:val="00A7124F"/>
    <w:rsid w:val="00A712E1"/>
    <w:rsid w:val="00A7183A"/>
    <w:rsid w:val="00A71AC8"/>
    <w:rsid w:val="00A72250"/>
    <w:rsid w:val="00A72477"/>
    <w:rsid w:val="00A752A0"/>
    <w:rsid w:val="00A774B9"/>
    <w:rsid w:val="00A7764D"/>
    <w:rsid w:val="00A77F50"/>
    <w:rsid w:val="00A80167"/>
    <w:rsid w:val="00A80E55"/>
    <w:rsid w:val="00A80EF6"/>
    <w:rsid w:val="00A81079"/>
    <w:rsid w:val="00A81A07"/>
    <w:rsid w:val="00A81C4D"/>
    <w:rsid w:val="00A81F09"/>
    <w:rsid w:val="00A82313"/>
    <w:rsid w:val="00A825AA"/>
    <w:rsid w:val="00A83C4A"/>
    <w:rsid w:val="00A8413F"/>
    <w:rsid w:val="00A84CFC"/>
    <w:rsid w:val="00A8512A"/>
    <w:rsid w:val="00A85768"/>
    <w:rsid w:val="00A860E3"/>
    <w:rsid w:val="00A869A1"/>
    <w:rsid w:val="00A87EB8"/>
    <w:rsid w:val="00A91984"/>
    <w:rsid w:val="00A92605"/>
    <w:rsid w:val="00A937A4"/>
    <w:rsid w:val="00A93A55"/>
    <w:rsid w:val="00A95366"/>
    <w:rsid w:val="00A95D3F"/>
    <w:rsid w:val="00A96438"/>
    <w:rsid w:val="00A9684A"/>
    <w:rsid w:val="00A96B67"/>
    <w:rsid w:val="00A96BAF"/>
    <w:rsid w:val="00A97725"/>
    <w:rsid w:val="00A97DDA"/>
    <w:rsid w:val="00AA0C79"/>
    <w:rsid w:val="00AA0D83"/>
    <w:rsid w:val="00AA1242"/>
    <w:rsid w:val="00AA19C1"/>
    <w:rsid w:val="00AA3C52"/>
    <w:rsid w:val="00AA3DDF"/>
    <w:rsid w:val="00AA47C7"/>
    <w:rsid w:val="00AA4BA5"/>
    <w:rsid w:val="00AA534B"/>
    <w:rsid w:val="00AA5919"/>
    <w:rsid w:val="00AA5AC0"/>
    <w:rsid w:val="00AA5E3F"/>
    <w:rsid w:val="00AA6744"/>
    <w:rsid w:val="00AA68EC"/>
    <w:rsid w:val="00AA751E"/>
    <w:rsid w:val="00AA7D53"/>
    <w:rsid w:val="00AB007E"/>
    <w:rsid w:val="00AB06F4"/>
    <w:rsid w:val="00AB0718"/>
    <w:rsid w:val="00AB0A0D"/>
    <w:rsid w:val="00AB17F7"/>
    <w:rsid w:val="00AB1CDC"/>
    <w:rsid w:val="00AB4240"/>
    <w:rsid w:val="00AB5EC7"/>
    <w:rsid w:val="00AB5F78"/>
    <w:rsid w:val="00AB70B8"/>
    <w:rsid w:val="00AB7736"/>
    <w:rsid w:val="00AB7B26"/>
    <w:rsid w:val="00AC03F3"/>
    <w:rsid w:val="00AC1148"/>
    <w:rsid w:val="00AC18B5"/>
    <w:rsid w:val="00AC19D9"/>
    <w:rsid w:val="00AC2AF0"/>
    <w:rsid w:val="00AC42BA"/>
    <w:rsid w:val="00AC454E"/>
    <w:rsid w:val="00AC4B43"/>
    <w:rsid w:val="00AC5474"/>
    <w:rsid w:val="00AC557B"/>
    <w:rsid w:val="00AC55E3"/>
    <w:rsid w:val="00AC5EA3"/>
    <w:rsid w:val="00AC6741"/>
    <w:rsid w:val="00AC67D8"/>
    <w:rsid w:val="00AC6BE6"/>
    <w:rsid w:val="00AD0828"/>
    <w:rsid w:val="00AD1048"/>
    <w:rsid w:val="00AD2826"/>
    <w:rsid w:val="00AD2A9B"/>
    <w:rsid w:val="00AD349A"/>
    <w:rsid w:val="00AD35D4"/>
    <w:rsid w:val="00AD43C4"/>
    <w:rsid w:val="00AD4D0A"/>
    <w:rsid w:val="00AD5493"/>
    <w:rsid w:val="00AD6531"/>
    <w:rsid w:val="00AD6C89"/>
    <w:rsid w:val="00AD6FBB"/>
    <w:rsid w:val="00AD7B1E"/>
    <w:rsid w:val="00AD7EC5"/>
    <w:rsid w:val="00AE0504"/>
    <w:rsid w:val="00AE0C72"/>
    <w:rsid w:val="00AE0FAD"/>
    <w:rsid w:val="00AE13F3"/>
    <w:rsid w:val="00AE1789"/>
    <w:rsid w:val="00AE1B91"/>
    <w:rsid w:val="00AE25F5"/>
    <w:rsid w:val="00AE2899"/>
    <w:rsid w:val="00AE3F94"/>
    <w:rsid w:val="00AE42C9"/>
    <w:rsid w:val="00AE4945"/>
    <w:rsid w:val="00AE6FB7"/>
    <w:rsid w:val="00AE7118"/>
    <w:rsid w:val="00AE7428"/>
    <w:rsid w:val="00AE7748"/>
    <w:rsid w:val="00AE78E3"/>
    <w:rsid w:val="00AF0245"/>
    <w:rsid w:val="00AF088D"/>
    <w:rsid w:val="00AF09D8"/>
    <w:rsid w:val="00AF0D57"/>
    <w:rsid w:val="00AF14C3"/>
    <w:rsid w:val="00AF1A1D"/>
    <w:rsid w:val="00AF3191"/>
    <w:rsid w:val="00AF4025"/>
    <w:rsid w:val="00AF44D5"/>
    <w:rsid w:val="00AF4EEF"/>
    <w:rsid w:val="00AF520D"/>
    <w:rsid w:val="00AF53C7"/>
    <w:rsid w:val="00AF5E26"/>
    <w:rsid w:val="00AF70E9"/>
    <w:rsid w:val="00AF76FE"/>
    <w:rsid w:val="00B00E40"/>
    <w:rsid w:val="00B01984"/>
    <w:rsid w:val="00B03B6E"/>
    <w:rsid w:val="00B047C6"/>
    <w:rsid w:val="00B047D4"/>
    <w:rsid w:val="00B04E6B"/>
    <w:rsid w:val="00B0650B"/>
    <w:rsid w:val="00B06DD7"/>
    <w:rsid w:val="00B07870"/>
    <w:rsid w:val="00B07FC8"/>
    <w:rsid w:val="00B10761"/>
    <w:rsid w:val="00B113A1"/>
    <w:rsid w:val="00B1189F"/>
    <w:rsid w:val="00B131F2"/>
    <w:rsid w:val="00B13A0B"/>
    <w:rsid w:val="00B13A22"/>
    <w:rsid w:val="00B13DDE"/>
    <w:rsid w:val="00B13FE8"/>
    <w:rsid w:val="00B1426A"/>
    <w:rsid w:val="00B14B9B"/>
    <w:rsid w:val="00B14CE0"/>
    <w:rsid w:val="00B14DBE"/>
    <w:rsid w:val="00B14EDD"/>
    <w:rsid w:val="00B16894"/>
    <w:rsid w:val="00B17CE6"/>
    <w:rsid w:val="00B20621"/>
    <w:rsid w:val="00B21F30"/>
    <w:rsid w:val="00B221BD"/>
    <w:rsid w:val="00B223F0"/>
    <w:rsid w:val="00B22689"/>
    <w:rsid w:val="00B22A18"/>
    <w:rsid w:val="00B22A52"/>
    <w:rsid w:val="00B22C2C"/>
    <w:rsid w:val="00B22CCE"/>
    <w:rsid w:val="00B22F6A"/>
    <w:rsid w:val="00B231BB"/>
    <w:rsid w:val="00B24463"/>
    <w:rsid w:val="00B24B97"/>
    <w:rsid w:val="00B2578D"/>
    <w:rsid w:val="00B25B19"/>
    <w:rsid w:val="00B25DB7"/>
    <w:rsid w:val="00B264D8"/>
    <w:rsid w:val="00B266E1"/>
    <w:rsid w:val="00B26C89"/>
    <w:rsid w:val="00B30CE8"/>
    <w:rsid w:val="00B30F5A"/>
    <w:rsid w:val="00B31971"/>
    <w:rsid w:val="00B31A45"/>
    <w:rsid w:val="00B3289D"/>
    <w:rsid w:val="00B336CD"/>
    <w:rsid w:val="00B33AE5"/>
    <w:rsid w:val="00B33F4B"/>
    <w:rsid w:val="00B35487"/>
    <w:rsid w:val="00B35852"/>
    <w:rsid w:val="00B35FAD"/>
    <w:rsid w:val="00B3783A"/>
    <w:rsid w:val="00B37BB2"/>
    <w:rsid w:val="00B37F05"/>
    <w:rsid w:val="00B41297"/>
    <w:rsid w:val="00B41D5E"/>
    <w:rsid w:val="00B42724"/>
    <w:rsid w:val="00B42A30"/>
    <w:rsid w:val="00B436B5"/>
    <w:rsid w:val="00B43B1A"/>
    <w:rsid w:val="00B44277"/>
    <w:rsid w:val="00B458ED"/>
    <w:rsid w:val="00B4749D"/>
    <w:rsid w:val="00B500BD"/>
    <w:rsid w:val="00B51312"/>
    <w:rsid w:val="00B51C5E"/>
    <w:rsid w:val="00B51D49"/>
    <w:rsid w:val="00B533CD"/>
    <w:rsid w:val="00B537C0"/>
    <w:rsid w:val="00B53F5D"/>
    <w:rsid w:val="00B54262"/>
    <w:rsid w:val="00B54396"/>
    <w:rsid w:val="00B54EA8"/>
    <w:rsid w:val="00B558FA"/>
    <w:rsid w:val="00B55EAD"/>
    <w:rsid w:val="00B5637C"/>
    <w:rsid w:val="00B566ED"/>
    <w:rsid w:val="00B576A9"/>
    <w:rsid w:val="00B57D59"/>
    <w:rsid w:val="00B6130C"/>
    <w:rsid w:val="00B61D8D"/>
    <w:rsid w:val="00B627C6"/>
    <w:rsid w:val="00B629DF"/>
    <w:rsid w:val="00B6313F"/>
    <w:rsid w:val="00B637A3"/>
    <w:rsid w:val="00B644A0"/>
    <w:rsid w:val="00B650B3"/>
    <w:rsid w:val="00B65BB9"/>
    <w:rsid w:val="00B6696A"/>
    <w:rsid w:val="00B6744C"/>
    <w:rsid w:val="00B71169"/>
    <w:rsid w:val="00B71402"/>
    <w:rsid w:val="00B72594"/>
    <w:rsid w:val="00B72CAF"/>
    <w:rsid w:val="00B74326"/>
    <w:rsid w:val="00B75307"/>
    <w:rsid w:val="00B760C5"/>
    <w:rsid w:val="00B7620D"/>
    <w:rsid w:val="00B768FE"/>
    <w:rsid w:val="00B76F8E"/>
    <w:rsid w:val="00B77635"/>
    <w:rsid w:val="00B80399"/>
    <w:rsid w:val="00B8148C"/>
    <w:rsid w:val="00B81E80"/>
    <w:rsid w:val="00B822DB"/>
    <w:rsid w:val="00B828CC"/>
    <w:rsid w:val="00B828DB"/>
    <w:rsid w:val="00B83357"/>
    <w:rsid w:val="00B833F2"/>
    <w:rsid w:val="00B83F85"/>
    <w:rsid w:val="00B84BE0"/>
    <w:rsid w:val="00B84E44"/>
    <w:rsid w:val="00B85FF6"/>
    <w:rsid w:val="00B86482"/>
    <w:rsid w:val="00B86ACC"/>
    <w:rsid w:val="00B86B8D"/>
    <w:rsid w:val="00B90610"/>
    <w:rsid w:val="00B9099E"/>
    <w:rsid w:val="00B9101F"/>
    <w:rsid w:val="00B91922"/>
    <w:rsid w:val="00B922BA"/>
    <w:rsid w:val="00B94074"/>
    <w:rsid w:val="00B943C4"/>
    <w:rsid w:val="00B94C43"/>
    <w:rsid w:val="00B9507A"/>
    <w:rsid w:val="00B954D0"/>
    <w:rsid w:val="00B95C9F"/>
    <w:rsid w:val="00B96F3D"/>
    <w:rsid w:val="00B97951"/>
    <w:rsid w:val="00B97CBC"/>
    <w:rsid w:val="00BA1AF5"/>
    <w:rsid w:val="00BA1D26"/>
    <w:rsid w:val="00BA1E9A"/>
    <w:rsid w:val="00BA2D0B"/>
    <w:rsid w:val="00BA34AA"/>
    <w:rsid w:val="00BA35DB"/>
    <w:rsid w:val="00BA35DD"/>
    <w:rsid w:val="00BA4F5C"/>
    <w:rsid w:val="00BA52A3"/>
    <w:rsid w:val="00BA5320"/>
    <w:rsid w:val="00BA5415"/>
    <w:rsid w:val="00BA65CB"/>
    <w:rsid w:val="00BA6F23"/>
    <w:rsid w:val="00BA71BA"/>
    <w:rsid w:val="00BA7C03"/>
    <w:rsid w:val="00BB015E"/>
    <w:rsid w:val="00BB0C98"/>
    <w:rsid w:val="00BB25BF"/>
    <w:rsid w:val="00BB2EEE"/>
    <w:rsid w:val="00BB3578"/>
    <w:rsid w:val="00BB3C50"/>
    <w:rsid w:val="00BB4652"/>
    <w:rsid w:val="00BB4949"/>
    <w:rsid w:val="00BB50BB"/>
    <w:rsid w:val="00BB654F"/>
    <w:rsid w:val="00BB6D37"/>
    <w:rsid w:val="00BB6FEF"/>
    <w:rsid w:val="00BB7094"/>
    <w:rsid w:val="00BB7432"/>
    <w:rsid w:val="00BC0BC9"/>
    <w:rsid w:val="00BC134F"/>
    <w:rsid w:val="00BC13A8"/>
    <w:rsid w:val="00BC16B9"/>
    <w:rsid w:val="00BC1C17"/>
    <w:rsid w:val="00BC1ED5"/>
    <w:rsid w:val="00BC26CA"/>
    <w:rsid w:val="00BC282B"/>
    <w:rsid w:val="00BC2B37"/>
    <w:rsid w:val="00BC333C"/>
    <w:rsid w:val="00BC380F"/>
    <w:rsid w:val="00BC4684"/>
    <w:rsid w:val="00BC4B07"/>
    <w:rsid w:val="00BC4D70"/>
    <w:rsid w:val="00BC5C73"/>
    <w:rsid w:val="00BC62B9"/>
    <w:rsid w:val="00BC672B"/>
    <w:rsid w:val="00BC6A09"/>
    <w:rsid w:val="00BC7062"/>
    <w:rsid w:val="00BC7FA8"/>
    <w:rsid w:val="00BD071D"/>
    <w:rsid w:val="00BD0D3B"/>
    <w:rsid w:val="00BD2998"/>
    <w:rsid w:val="00BD2B05"/>
    <w:rsid w:val="00BD4816"/>
    <w:rsid w:val="00BD580E"/>
    <w:rsid w:val="00BD5FF9"/>
    <w:rsid w:val="00BD602F"/>
    <w:rsid w:val="00BD6C7C"/>
    <w:rsid w:val="00BD70E8"/>
    <w:rsid w:val="00BD71DA"/>
    <w:rsid w:val="00BD7732"/>
    <w:rsid w:val="00BE009D"/>
    <w:rsid w:val="00BE0120"/>
    <w:rsid w:val="00BE22BF"/>
    <w:rsid w:val="00BE2504"/>
    <w:rsid w:val="00BE2650"/>
    <w:rsid w:val="00BE2CC5"/>
    <w:rsid w:val="00BE2DCC"/>
    <w:rsid w:val="00BE31C7"/>
    <w:rsid w:val="00BE359F"/>
    <w:rsid w:val="00BE4DA0"/>
    <w:rsid w:val="00BE685D"/>
    <w:rsid w:val="00BE6E95"/>
    <w:rsid w:val="00BE705E"/>
    <w:rsid w:val="00BE7E73"/>
    <w:rsid w:val="00BF010E"/>
    <w:rsid w:val="00BF0129"/>
    <w:rsid w:val="00BF0942"/>
    <w:rsid w:val="00BF1747"/>
    <w:rsid w:val="00BF2F7F"/>
    <w:rsid w:val="00BF2F8F"/>
    <w:rsid w:val="00BF335C"/>
    <w:rsid w:val="00BF3DD1"/>
    <w:rsid w:val="00BF4047"/>
    <w:rsid w:val="00BF4947"/>
    <w:rsid w:val="00BF4975"/>
    <w:rsid w:val="00BF51E3"/>
    <w:rsid w:val="00BF58D9"/>
    <w:rsid w:val="00BF7445"/>
    <w:rsid w:val="00BF7912"/>
    <w:rsid w:val="00BF7A82"/>
    <w:rsid w:val="00C00228"/>
    <w:rsid w:val="00C00898"/>
    <w:rsid w:val="00C00E3F"/>
    <w:rsid w:val="00C02C73"/>
    <w:rsid w:val="00C0379C"/>
    <w:rsid w:val="00C047F9"/>
    <w:rsid w:val="00C04A51"/>
    <w:rsid w:val="00C0510F"/>
    <w:rsid w:val="00C05F31"/>
    <w:rsid w:val="00C06421"/>
    <w:rsid w:val="00C076A2"/>
    <w:rsid w:val="00C106A4"/>
    <w:rsid w:val="00C107B2"/>
    <w:rsid w:val="00C11C83"/>
    <w:rsid w:val="00C12749"/>
    <w:rsid w:val="00C12988"/>
    <w:rsid w:val="00C12DE5"/>
    <w:rsid w:val="00C1351D"/>
    <w:rsid w:val="00C13F16"/>
    <w:rsid w:val="00C141E0"/>
    <w:rsid w:val="00C14CDE"/>
    <w:rsid w:val="00C15E52"/>
    <w:rsid w:val="00C15E92"/>
    <w:rsid w:val="00C172BC"/>
    <w:rsid w:val="00C177DB"/>
    <w:rsid w:val="00C17E11"/>
    <w:rsid w:val="00C2131D"/>
    <w:rsid w:val="00C21781"/>
    <w:rsid w:val="00C21CB0"/>
    <w:rsid w:val="00C22528"/>
    <w:rsid w:val="00C234C2"/>
    <w:rsid w:val="00C23745"/>
    <w:rsid w:val="00C238EA"/>
    <w:rsid w:val="00C23DAF"/>
    <w:rsid w:val="00C23DE1"/>
    <w:rsid w:val="00C24087"/>
    <w:rsid w:val="00C24663"/>
    <w:rsid w:val="00C24C1A"/>
    <w:rsid w:val="00C25AA9"/>
    <w:rsid w:val="00C25C7C"/>
    <w:rsid w:val="00C25D5B"/>
    <w:rsid w:val="00C25F6D"/>
    <w:rsid w:val="00C312A6"/>
    <w:rsid w:val="00C316AC"/>
    <w:rsid w:val="00C33423"/>
    <w:rsid w:val="00C33629"/>
    <w:rsid w:val="00C33656"/>
    <w:rsid w:val="00C33A4F"/>
    <w:rsid w:val="00C3575A"/>
    <w:rsid w:val="00C358DB"/>
    <w:rsid w:val="00C35A5B"/>
    <w:rsid w:val="00C36DF1"/>
    <w:rsid w:val="00C3732A"/>
    <w:rsid w:val="00C3761A"/>
    <w:rsid w:val="00C37FFB"/>
    <w:rsid w:val="00C40062"/>
    <w:rsid w:val="00C4011F"/>
    <w:rsid w:val="00C40461"/>
    <w:rsid w:val="00C4061A"/>
    <w:rsid w:val="00C4089E"/>
    <w:rsid w:val="00C420F3"/>
    <w:rsid w:val="00C42201"/>
    <w:rsid w:val="00C427FA"/>
    <w:rsid w:val="00C43604"/>
    <w:rsid w:val="00C437E2"/>
    <w:rsid w:val="00C43E6C"/>
    <w:rsid w:val="00C45311"/>
    <w:rsid w:val="00C46C1C"/>
    <w:rsid w:val="00C46F1C"/>
    <w:rsid w:val="00C47080"/>
    <w:rsid w:val="00C47C79"/>
    <w:rsid w:val="00C501EE"/>
    <w:rsid w:val="00C52E5A"/>
    <w:rsid w:val="00C53508"/>
    <w:rsid w:val="00C53ABB"/>
    <w:rsid w:val="00C54340"/>
    <w:rsid w:val="00C54C4F"/>
    <w:rsid w:val="00C54D00"/>
    <w:rsid w:val="00C558A4"/>
    <w:rsid w:val="00C57190"/>
    <w:rsid w:val="00C602D8"/>
    <w:rsid w:val="00C60329"/>
    <w:rsid w:val="00C605C9"/>
    <w:rsid w:val="00C610B0"/>
    <w:rsid w:val="00C6281D"/>
    <w:rsid w:val="00C62C10"/>
    <w:rsid w:val="00C62FB4"/>
    <w:rsid w:val="00C6399B"/>
    <w:rsid w:val="00C6521D"/>
    <w:rsid w:val="00C65FF3"/>
    <w:rsid w:val="00C66A90"/>
    <w:rsid w:val="00C67839"/>
    <w:rsid w:val="00C70056"/>
    <w:rsid w:val="00C70598"/>
    <w:rsid w:val="00C707BD"/>
    <w:rsid w:val="00C71775"/>
    <w:rsid w:val="00C71E79"/>
    <w:rsid w:val="00C723CC"/>
    <w:rsid w:val="00C7248F"/>
    <w:rsid w:val="00C73FF2"/>
    <w:rsid w:val="00C74139"/>
    <w:rsid w:val="00C7441D"/>
    <w:rsid w:val="00C745D0"/>
    <w:rsid w:val="00C74817"/>
    <w:rsid w:val="00C74F91"/>
    <w:rsid w:val="00C758C2"/>
    <w:rsid w:val="00C76728"/>
    <w:rsid w:val="00C775EF"/>
    <w:rsid w:val="00C8034B"/>
    <w:rsid w:val="00C80DC5"/>
    <w:rsid w:val="00C81291"/>
    <w:rsid w:val="00C816E1"/>
    <w:rsid w:val="00C81DB1"/>
    <w:rsid w:val="00C821B6"/>
    <w:rsid w:val="00C8224F"/>
    <w:rsid w:val="00C82920"/>
    <w:rsid w:val="00C83FD9"/>
    <w:rsid w:val="00C85990"/>
    <w:rsid w:val="00C8599F"/>
    <w:rsid w:val="00C862FD"/>
    <w:rsid w:val="00C86364"/>
    <w:rsid w:val="00C86F9D"/>
    <w:rsid w:val="00C86FA4"/>
    <w:rsid w:val="00C87F2E"/>
    <w:rsid w:val="00C87F8E"/>
    <w:rsid w:val="00C90556"/>
    <w:rsid w:val="00C913A9"/>
    <w:rsid w:val="00C915DC"/>
    <w:rsid w:val="00C91DAD"/>
    <w:rsid w:val="00C921C9"/>
    <w:rsid w:val="00C92D63"/>
    <w:rsid w:val="00C93010"/>
    <w:rsid w:val="00C933A8"/>
    <w:rsid w:val="00C93806"/>
    <w:rsid w:val="00C93A10"/>
    <w:rsid w:val="00C941A7"/>
    <w:rsid w:val="00C94350"/>
    <w:rsid w:val="00C94411"/>
    <w:rsid w:val="00C950CC"/>
    <w:rsid w:val="00C9578F"/>
    <w:rsid w:val="00C95C6E"/>
    <w:rsid w:val="00C97807"/>
    <w:rsid w:val="00C97BE3"/>
    <w:rsid w:val="00C97D03"/>
    <w:rsid w:val="00CA0AB6"/>
    <w:rsid w:val="00CA1435"/>
    <w:rsid w:val="00CA1C33"/>
    <w:rsid w:val="00CA2043"/>
    <w:rsid w:val="00CA2BFB"/>
    <w:rsid w:val="00CA3538"/>
    <w:rsid w:val="00CA3A85"/>
    <w:rsid w:val="00CA4696"/>
    <w:rsid w:val="00CA4F70"/>
    <w:rsid w:val="00CA6736"/>
    <w:rsid w:val="00CA7860"/>
    <w:rsid w:val="00CB0AFF"/>
    <w:rsid w:val="00CB14CE"/>
    <w:rsid w:val="00CB2CB3"/>
    <w:rsid w:val="00CB3D06"/>
    <w:rsid w:val="00CB450A"/>
    <w:rsid w:val="00CB58D1"/>
    <w:rsid w:val="00CB5A6A"/>
    <w:rsid w:val="00CB6EED"/>
    <w:rsid w:val="00CC04EE"/>
    <w:rsid w:val="00CC06EC"/>
    <w:rsid w:val="00CC17E9"/>
    <w:rsid w:val="00CC1CBB"/>
    <w:rsid w:val="00CC4199"/>
    <w:rsid w:val="00CC42D7"/>
    <w:rsid w:val="00CC47DC"/>
    <w:rsid w:val="00CC5107"/>
    <w:rsid w:val="00CC6BB4"/>
    <w:rsid w:val="00CD007D"/>
    <w:rsid w:val="00CD00FE"/>
    <w:rsid w:val="00CD095E"/>
    <w:rsid w:val="00CD0BBA"/>
    <w:rsid w:val="00CD0CE3"/>
    <w:rsid w:val="00CD2367"/>
    <w:rsid w:val="00CD39BF"/>
    <w:rsid w:val="00CD42BF"/>
    <w:rsid w:val="00CD58C6"/>
    <w:rsid w:val="00CD62C4"/>
    <w:rsid w:val="00CD6E0B"/>
    <w:rsid w:val="00CD7D5D"/>
    <w:rsid w:val="00CE0ADC"/>
    <w:rsid w:val="00CE117A"/>
    <w:rsid w:val="00CE189E"/>
    <w:rsid w:val="00CE1A0D"/>
    <w:rsid w:val="00CE1A19"/>
    <w:rsid w:val="00CE2474"/>
    <w:rsid w:val="00CE4DB0"/>
    <w:rsid w:val="00CE637F"/>
    <w:rsid w:val="00CE6432"/>
    <w:rsid w:val="00CE7450"/>
    <w:rsid w:val="00CE7A34"/>
    <w:rsid w:val="00CE7D53"/>
    <w:rsid w:val="00CE7DDB"/>
    <w:rsid w:val="00CF013F"/>
    <w:rsid w:val="00CF0F0D"/>
    <w:rsid w:val="00CF14A3"/>
    <w:rsid w:val="00CF17AA"/>
    <w:rsid w:val="00CF3D9D"/>
    <w:rsid w:val="00CF4833"/>
    <w:rsid w:val="00CF4900"/>
    <w:rsid w:val="00CF56DD"/>
    <w:rsid w:val="00CF5F65"/>
    <w:rsid w:val="00CF60DA"/>
    <w:rsid w:val="00CF6A7C"/>
    <w:rsid w:val="00CF73B1"/>
    <w:rsid w:val="00CF7BC9"/>
    <w:rsid w:val="00D00127"/>
    <w:rsid w:val="00D0078A"/>
    <w:rsid w:val="00D00A28"/>
    <w:rsid w:val="00D01CC5"/>
    <w:rsid w:val="00D01E6E"/>
    <w:rsid w:val="00D02298"/>
    <w:rsid w:val="00D04199"/>
    <w:rsid w:val="00D041D4"/>
    <w:rsid w:val="00D0464C"/>
    <w:rsid w:val="00D04728"/>
    <w:rsid w:val="00D04BFF"/>
    <w:rsid w:val="00D05F67"/>
    <w:rsid w:val="00D067F0"/>
    <w:rsid w:val="00D069C5"/>
    <w:rsid w:val="00D06F0D"/>
    <w:rsid w:val="00D07547"/>
    <w:rsid w:val="00D0778F"/>
    <w:rsid w:val="00D07A42"/>
    <w:rsid w:val="00D07D14"/>
    <w:rsid w:val="00D10838"/>
    <w:rsid w:val="00D110E8"/>
    <w:rsid w:val="00D12320"/>
    <w:rsid w:val="00D12450"/>
    <w:rsid w:val="00D12C26"/>
    <w:rsid w:val="00D13D6B"/>
    <w:rsid w:val="00D14363"/>
    <w:rsid w:val="00D1450D"/>
    <w:rsid w:val="00D15629"/>
    <w:rsid w:val="00D15718"/>
    <w:rsid w:val="00D15AC6"/>
    <w:rsid w:val="00D162BA"/>
    <w:rsid w:val="00D165C8"/>
    <w:rsid w:val="00D175C8"/>
    <w:rsid w:val="00D17DCD"/>
    <w:rsid w:val="00D20587"/>
    <w:rsid w:val="00D215FD"/>
    <w:rsid w:val="00D219B2"/>
    <w:rsid w:val="00D21B74"/>
    <w:rsid w:val="00D21E19"/>
    <w:rsid w:val="00D2225D"/>
    <w:rsid w:val="00D223DE"/>
    <w:rsid w:val="00D225B0"/>
    <w:rsid w:val="00D22A73"/>
    <w:rsid w:val="00D22AE0"/>
    <w:rsid w:val="00D235CB"/>
    <w:rsid w:val="00D23C4C"/>
    <w:rsid w:val="00D243EC"/>
    <w:rsid w:val="00D2467B"/>
    <w:rsid w:val="00D247FD"/>
    <w:rsid w:val="00D24B32"/>
    <w:rsid w:val="00D255DC"/>
    <w:rsid w:val="00D25C81"/>
    <w:rsid w:val="00D26DF3"/>
    <w:rsid w:val="00D27AD6"/>
    <w:rsid w:val="00D27C8E"/>
    <w:rsid w:val="00D30461"/>
    <w:rsid w:val="00D3152C"/>
    <w:rsid w:val="00D3280E"/>
    <w:rsid w:val="00D32E5E"/>
    <w:rsid w:val="00D33EEB"/>
    <w:rsid w:val="00D34687"/>
    <w:rsid w:val="00D34A67"/>
    <w:rsid w:val="00D367E1"/>
    <w:rsid w:val="00D3718B"/>
    <w:rsid w:val="00D37B8D"/>
    <w:rsid w:val="00D4014E"/>
    <w:rsid w:val="00D4138C"/>
    <w:rsid w:val="00D4172F"/>
    <w:rsid w:val="00D41D7E"/>
    <w:rsid w:val="00D42911"/>
    <w:rsid w:val="00D440F8"/>
    <w:rsid w:val="00D446EF"/>
    <w:rsid w:val="00D452B0"/>
    <w:rsid w:val="00D46CB2"/>
    <w:rsid w:val="00D4715B"/>
    <w:rsid w:val="00D504BE"/>
    <w:rsid w:val="00D50E9F"/>
    <w:rsid w:val="00D5126D"/>
    <w:rsid w:val="00D5183A"/>
    <w:rsid w:val="00D523ED"/>
    <w:rsid w:val="00D53020"/>
    <w:rsid w:val="00D5383B"/>
    <w:rsid w:val="00D53895"/>
    <w:rsid w:val="00D53E81"/>
    <w:rsid w:val="00D54050"/>
    <w:rsid w:val="00D5448E"/>
    <w:rsid w:val="00D54FED"/>
    <w:rsid w:val="00D56E15"/>
    <w:rsid w:val="00D56E5B"/>
    <w:rsid w:val="00D571AD"/>
    <w:rsid w:val="00D604CA"/>
    <w:rsid w:val="00D60595"/>
    <w:rsid w:val="00D6315B"/>
    <w:rsid w:val="00D633C2"/>
    <w:rsid w:val="00D63B02"/>
    <w:rsid w:val="00D6579B"/>
    <w:rsid w:val="00D6620B"/>
    <w:rsid w:val="00D66DFF"/>
    <w:rsid w:val="00D67BFE"/>
    <w:rsid w:val="00D67D65"/>
    <w:rsid w:val="00D7175F"/>
    <w:rsid w:val="00D71F18"/>
    <w:rsid w:val="00D7240E"/>
    <w:rsid w:val="00D7254E"/>
    <w:rsid w:val="00D74137"/>
    <w:rsid w:val="00D741E3"/>
    <w:rsid w:val="00D742D0"/>
    <w:rsid w:val="00D74313"/>
    <w:rsid w:val="00D74D90"/>
    <w:rsid w:val="00D761C9"/>
    <w:rsid w:val="00D76E51"/>
    <w:rsid w:val="00D7716C"/>
    <w:rsid w:val="00D77443"/>
    <w:rsid w:val="00D77944"/>
    <w:rsid w:val="00D779F0"/>
    <w:rsid w:val="00D80D70"/>
    <w:rsid w:val="00D81B06"/>
    <w:rsid w:val="00D82AC0"/>
    <w:rsid w:val="00D83792"/>
    <w:rsid w:val="00D83D10"/>
    <w:rsid w:val="00D84358"/>
    <w:rsid w:val="00D8446E"/>
    <w:rsid w:val="00D84B33"/>
    <w:rsid w:val="00D85DF8"/>
    <w:rsid w:val="00D861BD"/>
    <w:rsid w:val="00D90A45"/>
    <w:rsid w:val="00D90ABA"/>
    <w:rsid w:val="00D913F3"/>
    <w:rsid w:val="00D91838"/>
    <w:rsid w:val="00D91ADC"/>
    <w:rsid w:val="00D91C72"/>
    <w:rsid w:val="00D92478"/>
    <w:rsid w:val="00D92A54"/>
    <w:rsid w:val="00D92F94"/>
    <w:rsid w:val="00D93D1D"/>
    <w:rsid w:val="00D9416E"/>
    <w:rsid w:val="00D94667"/>
    <w:rsid w:val="00D946D4"/>
    <w:rsid w:val="00D948E7"/>
    <w:rsid w:val="00D95805"/>
    <w:rsid w:val="00D96302"/>
    <w:rsid w:val="00D9688D"/>
    <w:rsid w:val="00D97299"/>
    <w:rsid w:val="00DA0070"/>
    <w:rsid w:val="00DA0B6D"/>
    <w:rsid w:val="00DA11B4"/>
    <w:rsid w:val="00DA1583"/>
    <w:rsid w:val="00DA1E64"/>
    <w:rsid w:val="00DA2086"/>
    <w:rsid w:val="00DA264F"/>
    <w:rsid w:val="00DA2887"/>
    <w:rsid w:val="00DA3683"/>
    <w:rsid w:val="00DA37C7"/>
    <w:rsid w:val="00DA4154"/>
    <w:rsid w:val="00DA4EC8"/>
    <w:rsid w:val="00DA5131"/>
    <w:rsid w:val="00DA5807"/>
    <w:rsid w:val="00DA62F6"/>
    <w:rsid w:val="00DA7756"/>
    <w:rsid w:val="00DB05C9"/>
    <w:rsid w:val="00DB1262"/>
    <w:rsid w:val="00DB16B1"/>
    <w:rsid w:val="00DB33D5"/>
    <w:rsid w:val="00DB3641"/>
    <w:rsid w:val="00DB3B34"/>
    <w:rsid w:val="00DB64C1"/>
    <w:rsid w:val="00DB66AA"/>
    <w:rsid w:val="00DB6D81"/>
    <w:rsid w:val="00DB772B"/>
    <w:rsid w:val="00DB7B81"/>
    <w:rsid w:val="00DB7C49"/>
    <w:rsid w:val="00DC0130"/>
    <w:rsid w:val="00DC0C06"/>
    <w:rsid w:val="00DC14BE"/>
    <w:rsid w:val="00DC1650"/>
    <w:rsid w:val="00DC1D65"/>
    <w:rsid w:val="00DC291D"/>
    <w:rsid w:val="00DC2DF8"/>
    <w:rsid w:val="00DC36AD"/>
    <w:rsid w:val="00DC36D8"/>
    <w:rsid w:val="00DC3F21"/>
    <w:rsid w:val="00DC4455"/>
    <w:rsid w:val="00DC593D"/>
    <w:rsid w:val="00DC5BBC"/>
    <w:rsid w:val="00DC5E44"/>
    <w:rsid w:val="00DC6E15"/>
    <w:rsid w:val="00DC7CE4"/>
    <w:rsid w:val="00DD0E74"/>
    <w:rsid w:val="00DD1422"/>
    <w:rsid w:val="00DD20B2"/>
    <w:rsid w:val="00DD30E0"/>
    <w:rsid w:val="00DD36F9"/>
    <w:rsid w:val="00DD3ECE"/>
    <w:rsid w:val="00DD5385"/>
    <w:rsid w:val="00DD5D15"/>
    <w:rsid w:val="00DD5E00"/>
    <w:rsid w:val="00DD69CE"/>
    <w:rsid w:val="00DD7035"/>
    <w:rsid w:val="00DD7B28"/>
    <w:rsid w:val="00DD7CE7"/>
    <w:rsid w:val="00DE1461"/>
    <w:rsid w:val="00DE2676"/>
    <w:rsid w:val="00DE2A74"/>
    <w:rsid w:val="00DE35E9"/>
    <w:rsid w:val="00DE3D44"/>
    <w:rsid w:val="00DE41EF"/>
    <w:rsid w:val="00DE4728"/>
    <w:rsid w:val="00DE5AF4"/>
    <w:rsid w:val="00DF012D"/>
    <w:rsid w:val="00DF018B"/>
    <w:rsid w:val="00DF088C"/>
    <w:rsid w:val="00DF1486"/>
    <w:rsid w:val="00DF1E49"/>
    <w:rsid w:val="00DF31AF"/>
    <w:rsid w:val="00DF3CF3"/>
    <w:rsid w:val="00DF417C"/>
    <w:rsid w:val="00DF4872"/>
    <w:rsid w:val="00DF4A89"/>
    <w:rsid w:val="00DF5F8A"/>
    <w:rsid w:val="00DF60C7"/>
    <w:rsid w:val="00DF6109"/>
    <w:rsid w:val="00DF6CC4"/>
    <w:rsid w:val="00DF74D9"/>
    <w:rsid w:val="00DF7B99"/>
    <w:rsid w:val="00DF7C3C"/>
    <w:rsid w:val="00DF7E2C"/>
    <w:rsid w:val="00E00056"/>
    <w:rsid w:val="00E00872"/>
    <w:rsid w:val="00E01039"/>
    <w:rsid w:val="00E01F5A"/>
    <w:rsid w:val="00E034CE"/>
    <w:rsid w:val="00E038CA"/>
    <w:rsid w:val="00E03FD1"/>
    <w:rsid w:val="00E04D7C"/>
    <w:rsid w:val="00E05554"/>
    <w:rsid w:val="00E06A1E"/>
    <w:rsid w:val="00E07295"/>
    <w:rsid w:val="00E1040C"/>
    <w:rsid w:val="00E1052E"/>
    <w:rsid w:val="00E10DDF"/>
    <w:rsid w:val="00E1115F"/>
    <w:rsid w:val="00E124EE"/>
    <w:rsid w:val="00E132DD"/>
    <w:rsid w:val="00E13410"/>
    <w:rsid w:val="00E146E7"/>
    <w:rsid w:val="00E14D8C"/>
    <w:rsid w:val="00E153BA"/>
    <w:rsid w:val="00E15607"/>
    <w:rsid w:val="00E15D0D"/>
    <w:rsid w:val="00E15DD5"/>
    <w:rsid w:val="00E166CF"/>
    <w:rsid w:val="00E20608"/>
    <w:rsid w:val="00E20BAD"/>
    <w:rsid w:val="00E20EAC"/>
    <w:rsid w:val="00E20FB2"/>
    <w:rsid w:val="00E214D5"/>
    <w:rsid w:val="00E217D8"/>
    <w:rsid w:val="00E21802"/>
    <w:rsid w:val="00E22240"/>
    <w:rsid w:val="00E223AF"/>
    <w:rsid w:val="00E22554"/>
    <w:rsid w:val="00E23D90"/>
    <w:rsid w:val="00E24064"/>
    <w:rsid w:val="00E2410C"/>
    <w:rsid w:val="00E24149"/>
    <w:rsid w:val="00E243A8"/>
    <w:rsid w:val="00E24FD5"/>
    <w:rsid w:val="00E25441"/>
    <w:rsid w:val="00E257AD"/>
    <w:rsid w:val="00E2684D"/>
    <w:rsid w:val="00E26FAE"/>
    <w:rsid w:val="00E27F42"/>
    <w:rsid w:val="00E31876"/>
    <w:rsid w:val="00E322D6"/>
    <w:rsid w:val="00E32402"/>
    <w:rsid w:val="00E32777"/>
    <w:rsid w:val="00E333E1"/>
    <w:rsid w:val="00E33D07"/>
    <w:rsid w:val="00E34D29"/>
    <w:rsid w:val="00E35109"/>
    <w:rsid w:val="00E35137"/>
    <w:rsid w:val="00E3593B"/>
    <w:rsid w:val="00E35B15"/>
    <w:rsid w:val="00E36FCC"/>
    <w:rsid w:val="00E373C1"/>
    <w:rsid w:val="00E37570"/>
    <w:rsid w:val="00E37907"/>
    <w:rsid w:val="00E37B89"/>
    <w:rsid w:val="00E41444"/>
    <w:rsid w:val="00E41B56"/>
    <w:rsid w:val="00E41C62"/>
    <w:rsid w:val="00E42C60"/>
    <w:rsid w:val="00E43F07"/>
    <w:rsid w:val="00E43F8E"/>
    <w:rsid w:val="00E44C96"/>
    <w:rsid w:val="00E44CB1"/>
    <w:rsid w:val="00E45882"/>
    <w:rsid w:val="00E45E08"/>
    <w:rsid w:val="00E46841"/>
    <w:rsid w:val="00E4684F"/>
    <w:rsid w:val="00E470FB"/>
    <w:rsid w:val="00E50469"/>
    <w:rsid w:val="00E50B6A"/>
    <w:rsid w:val="00E50B8B"/>
    <w:rsid w:val="00E525B2"/>
    <w:rsid w:val="00E530CC"/>
    <w:rsid w:val="00E544B1"/>
    <w:rsid w:val="00E54B59"/>
    <w:rsid w:val="00E54E14"/>
    <w:rsid w:val="00E55AD8"/>
    <w:rsid w:val="00E55B52"/>
    <w:rsid w:val="00E55C18"/>
    <w:rsid w:val="00E55DF1"/>
    <w:rsid w:val="00E55FE6"/>
    <w:rsid w:val="00E566B8"/>
    <w:rsid w:val="00E57859"/>
    <w:rsid w:val="00E60B0A"/>
    <w:rsid w:val="00E60FE9"/>
    <w:rsid w:val="00E61CB2"/>
    <w:rsid w:val="00E61FCD"/>
    <w:rsid w:val="00E6271E"/>
    <w:rsid w:val="00E64A9F"/>
    <w:rsid w:val="00E659D2"/>
    <w:rsid w:val="00E65EDA"/>
    <w:rsid w:val="00E66227"/>
    <w:rsid w:val="00E7025F"/>
    <w:rsid w:val="00E71B36"/>
    <w:rsid w:val="00E730F7"/>
    <w:rsid w:val="00E732C8"/>
    <w:rsid w:val="00E7457D"/>
    <w:rsid w:val="00E746C0"/>
    <w:rsid w:val="00E74793"/>
    <w:rsid w:val="00E74C99"/>
    <w:rsid w:val="00E7566E"/>
    <w:rsid w:val="00E7777A"/>
    <w:rsid w:val="00E77C03"/>
    <w:rsid w:val="00E814AD"/>
    <w:rsid w:val="00E81A4E"/>
    <w:rsid w:val="00E8260C"/>
    <w:rsid w:val="00E828DE"/>
    <w:rsid w:val="00E82B4D"/>
    <w:rsid w:val="00E82D4A"/>
    <w:rsid w:val="00E82E2A"/>
    <w:rsid w:val="00E845B8"/>
    <w:rsid w:val="00E84F2A"/>
    <w:rsid w:val="00E85FD9"/>
    <w:rsid w:val="00E86164"/>
    <w:rsid w:val="00E9233D"/>
    <w:rsid w:val="00E92A4D"/>
    <w:rsid w:val="00E92CAD"/>
    <w:rsid w:val="00E934ED"/>
    <w:rsid w:val="00E938BA"/>
    <w:rsid w:val="00E943DA"/>
    <w:rsid w:val="00E952DB"/>
    <w:rsid w:val="00E96BF8"/>
    <w:rsid w:val="00E970B3"/>
    <w:rsid w:val="00E9770B"/>
    <w:rsid w:val="00E978AD"/>
    <w:rsid w:val="00E97CB2"/>
    <w:rsid w:val="00EA10B1"/>
    <w:rsid w:val="00EA26CA"/>
    <w:rsid w:val="00EA27BE"/>
    <w:rsid w:val="00EA2B47"/>
    <w:rsid w:val="00EA301D"/>
    <w:rsid w:val="00EA3513"/>
    <w:rsid w:val="00EA3EF8"/>
    <w:rsid w:val="00EA5266"/>
    <w:rsid w:val="00EA5F42"/>
    <w:rsid w:val="00EA65B7"/>
    <w:rsid w:val="00EA74DC"/>
    <w:rsid w:val="00EB0309"/>
    <w:rsid w:val="00EB0349"/>
    <w:rsid w:val="00EB06BE"/>
    <w:rsid w:val="00EB20B7"/>
    <w:rsid w:val="00EB2BE6"/>
    <w:rsid w:val="00EB2ECD"/>
    <w:rsid w:val="00EB2F72"/>
    <w:rsid w:val="00EB3BF8"/>
    <w:rsid w:val="00EB5545"/>
    <w:rsid w:val="00EB5ED4"/>
    <w:rsid w:val="00EB61FD"/>
    <w:rsid w:val="00EB6F09"/>
    <w:rsid w:val="00EB70FC"/>
    <w:rsid w:val="00EB7B43"/>
    <w:rsid w:val="00EB7CFA"/>
    <w:rsid w:val="00EC0458"/>
    <w:rsid w:val="00EC0B41"/>
    <w:rsid w:val="00EC0CCE"/>
    <w:rsid w:val="00EC18E1"/>
    <w:rsid w:val="00EC1BC4"/>
    <w:rsid w:val="00EC21B5"/>
    <w:rsid w:val="00EC2C6F"/>
    <w:rsid w:val="00EC31E6"/>
    <w:rsid w:val="00EC39A8"/>
    <w:rsid w:val="00EC3AC1"/>
    <w:rsid w:val="00EC422F"/>
    <w:rsid w:val="00EC585C"/>
    <w:rsid w:val="00EC6005"/>
    <w:rsid w:val="00EC6453"/>
    <w:rsid w:val="00EC6BF6"/>
    <w:rsid w:val="00EC757A"/>
    <w:rsid w:val="00EC75B2"/>
    <w:rsid w:val="00ED017C"/>
    <w:rsid w:val="00ED020A"/>
    <w:rsid w:val="00ED07A8"/>
    <w:rsid w:val="00ED1813"/>
    <w:rsid w:val="00ED18C0"/>
    <w:rsid w:val="00ED1C27"/>
    <w:rsid w:val="00ED22AE"/>
    <w:rsid w:val="00ED2608"/>
    <w:rsid w:val="00ED3EBE"/>
    <w:rsid w:val="00ED41BD"/>
    <w:rsid w:val="00ED59CD"/>
    <w:rsid w:val="00ED69AF"/>
    <w:rsid w:val="00ED6B46"/>
    <w:rsid w:val="00ED7E67"/>
    <w:rsid w:val="00EE02D7"/>
    <w:rsid w:val="00EE1483"/>
    <w:rsid w:val="00EE15CA"/>
    <w:rsid w:val="00EE170D"/>
    <w:rsid w:val="00EE214B"/>
    <w:rsid w:val="00EE273D"/>
    <w:rsid w:val="00EE2775"/>
    <w:rsid w:val="00EE47C9"/>
    <w:rsid w:val="00EE487F"/>
    <w:rsid w:val="00EE4B2D"/>
    <w:rsid w:val="00EE4DEB"/>
    <w:rsid w:val="00EE4EDD"/>
    <w:rsid w:val="00EE5C6B"/>
    <w:rsid w:val="00EE64A5"/>
    <w:rsid w:val="00EE6B04"/>
    <w:rsid w:val="00EF01B7"/>
    <w:rsid w:val="00EF0B59"/>
    <w:rsid w:val="00EF1398"/>
    <w:rsid w:val="00EF21DF"/>
    <w:rsid w:val="00EF2E5F"/>
    <w:rsid w:val="00EF331E"/>
    <w:rsid w:val="00EF3542"/>
    <w:rsid w:val="00EF3C74"/>
    <w:rsid w:val="00EF40D9"/>
    <w:rsid w:val="00EF4483"/>
    <w:rsid w:val="00EF4A9A"/>
    <w:rsid w:val="00EF509C"/>
    <w:rsid w:val="00EF56CD"/>
    <w:rsid w:val="00EF6E9B"/>
    <w:rsid w:val="00EF73A5"/>
    <w:rsid w:val="00EF7422"/>
    <w:rsid w:val="00F00162"/>
    <w:rsid w:val="00F00C42"/>
    <w:rsid w:val="00F011B9"/>
    <w:rsid w:val="00F014A3"/>
    <w:rsid w:val="00F02606"/>
    <w:rsid w:val="00F02CD8"/>
    <w:rsid w:val="00F03A68"/>
    <w:rsid w:val="00F03B4C"/>
    <w:rsid w:val="00F0421E"/>
    <w:rsid w:val="00F047BF"/>
    <w:rsid w:val="00F0493B"/>
    <w:rsid w:val="00F04991"/>
    <w:rsid w:val="00F05FB7"/>
    <w:rsid w:val="00F06209"/>
    <w:rsid w:val="00F072F5"/>
    <w:rsid w:val="00F07340"/>
    <w:rsid w:val="00F0755B"/>
    <w:rsid w:val="00F07A19"/>
    <w:rsid w:val="00F10730"/>
    <w:rsid w:val="00F12111"/>
    <w:rsid w:val="00F12507"/>
    <w:rsid w:val="00F1254B"/>
    <w:rsid w:val="00F126EA"/>
    <w:rsid w:val="00F1424F"/>
    <w:rsid w:val="00F143EC"/>
    <w:rsid w:val="00F14554"/>
    <w:rsid w:val="00F14634"/>
    <w:rsid w:val="00F14CCD"/>
    <w:rsid w:val="00F158C0"/>
    <w:rsid w:val="00F16B45"/>
    <w:rsid w:val="00F16D62"/>
    <w:rsid w:val="00F20D3D"/>
    <w:rsid w:val="00F212F8"/>
    <w:rsid w:val="00F2186E"/>
    <w:rsid w:val="00F21922"/>
    <w:rsid w:val="00F21D0D"/>
    <w:rsid w:val="00F223A6"/>
    <w:rsid w:val="00F22CE2"/>
    <w:rsid w:val="00F22F2A"/>
    <w:rsid w:val="00F230E5"/>
    <w:rsid w:val="00F24947"/>
    <w:rsid w:val="00F249CA"/>
    <w:rsid w:val="00F252C1"/>
    <w:rsid w:val="00F25F52"/>
    <w:rsid w:val="00F26195"/>
    <w:rsid w:val="00F2671C"/>
    <w:rsid w:val="00F309F7"/>
    <w:rsid w:val="00F31079"/>
    <w:rsid w:val="00F32949"/>
    <w:rsid w:val="00F32951"/>
    <w:rsid w:val="00F32ACC"/>
    <w:rsid w:val="00F33093"/>
    <w:rsid w:val="00F33ED8"/>
    <w:rsid w:val="00F34281"/>
    <w:rsid w:val="00F369B7"/>
    <w:rsid w:val="00F404D6"/>
    <w:rsid w:val="00F40A30"/>
    <w:rsid w:val="00F40DC6"/>
    <w:rsid w:val="00F40E56"/>
    <w:rsid w:val="00F4184D"/>
    <w:rsid w:val="00F418E0"/>
    <w:rsid w:val="00F42C1E"/>
    <w:rsid w:val="00F46348"/>
    <w:rsid w:val="00F46BAD"/>
    <w:rsid w:val="00F4754E"/>
    <w:rsid w:val="00F50057"/>
    <w:rsid w:val="00F50E96"/>
    <w:rsid w:val="00F52F5E"/>
    <w:rsid w:val="00F5344C"/>
    <w:rsid w:val="00F53B3C"/>
    <w:rsid w:val="00F54557"/>
    <w:rsid w:val="00F55CE2"/>
    <w:rsid w:val="00F56109"/>
    <w:rsid w:val="00F56DC5"/>
    <w:rsid w:val="00F57052"/>
    <w:rsid w:val="00F577BE"/>
    <w:rsid w:val="00F60106"/>
    <w:rsid w:val="00F617B5"/>
    <w:rsid w:val="00F62361"/>
    <w:rsid w:val="00F6393D"/>
    <w:rsid w:val="00F64906"/>
    <w:rsid w:val="00F66B0B"/>
    <w:rsid w:val="00F66F57"/>
    <w:rsid w:val="00F67A12"/>
    <w:rsid w:val="00F70239"/>
    <w:rsid w:val="00F70B1C"/>
    <w:rsid w:val="00F715A2"/>
    <w:rsid w:val="00F7178B"/>
    <w:rsid w:val="00F725E5"/>
    <w:rsid w:val="00F73B4D"/>
    <w:rsid w:val="00F745DF"/>
    <w:rsid w:val="00F76DCE"/>
    <w:rsid w:val="00F804B5"/>
    <w:rsid w:val="00F807A0"/>
    <w:rsid w:val="00F80BDA"/>
    <w:rsid w:val="00F80C19"/>
    <w:rsid w:val="00F80C9E"/>
    <w:rsid w:val="00F815E1"/>
    <w:rsid w:val="00F81B2E"/>
    <w:rsid w:val="00F82699"/>
    <w:rsid w:val="00F831AD"/>
    <w:rsid w:val="00F84017"/>
    <w:rsid w:val="00F84758"/>
    <w:rsid w:val="00F84BCA"/>
    <w:rsid w:val="00F86C54"/>
    <w:rsid w:val="00F87535"/>
    <w:rsid w:val="00F87E19"/>
    <w:rsid w:val="00F90266"/>
    <w:rsid w:val="00F9117D"/>
    <w:rsid w:val="00F91BF0"/>
    <w:rsid w:val="00F92DE2"/>
    <w:rsid w:val="00F95045"/>
    <w:rsid w:val="00F96127"/>
    <w:rsid w:val="00F96EB0"/>
    <w:rsid w:val="00F976D7"/>
    <w:rsid w:val="00F9798D"/>
    <w:rsid w:val="00FA0248"/>
    <w:rsid w:val="00FA11DC"/>
    <w:rsid w:val="00FA1429"/>
    <w:rsid w:val="00FA179B"/>
    <w:rsid w:val="00FA1B45"/>
    <w:rsid w:val="00FA20E3"/>
    <w:rsid w:val="00FA2140"/>
    <w:rsid w:val="00FA2F61"/>
    <w:rsid w:val="00FA6D11"/>
    <w:rsid w:val="00FA6DBE"/>
    <w:rsid w:val="00FA7517"/>
    <w:rsid w:val="00FA7A2D"/>
    <w:rsid w:val="00FB04FE"/>
    <w:rsid w:val="00FB084F"/>
    <w:rsid w:val="00FB0B4F"/>
    <w:rsid w:val="00FB0D5E"/>
    <w:rsid w:val="00FB1DEA"/>
    <w:rsid w:val="00FB2F8F"/>
    <w:rsid w:val="00FB37CD"/>
    <w:rsid w:val="00FB44CE"/>
    <w:rsid w:val="00FB5D40"/>
    <w:rsid w:val="00FB6053"/>
    <w:rsid w:val="00FB6505"/>
    <w:rsid w:val="00FB795A"/>
    <w:rsid w:val="00FB79F2"/>
    <w:rsid w:val="00FB7B30"/>
    <w:rsid w:val="00FB7C2B"/>
    <w:rsid w:val="00FC03EB"/>
    <w:rsid w:val="00FC0464"/>
    <w:rsid w:val="00FC0A80"/>
    <w:rsid w:val="00FC1026"/>
    <w:rsid w:val="00FC1071"/>
    <w:rsid w:val="00FC1DAF"/>
    <w:rsid w:val="00FC2CCC"/>
    <w:rsid w:val="00FC2D63"/>
    <w:rsid w:val="00FC32F2"/>
    <w:rsid w:val="00FC3D91"/>
    <w:rsid w:val="00FC3FCA"/>
    <w:rsid w:val="00FC449C"/>
    <w:rsid w:val="00FC460A"/>
    <w:rsid w:val="00FC5F40"/>
    <w:rsid w:val="00FC67E5"/>
    <w:rsid w:val="00FD01FA"/>
    <w:rsid w:val="00FD0887"/>
    <w:rsid w:val="00FD1B09"/>
    <w:rsid w:val="00FD1FB4"/>
    <w:rsid w:val="00FD2F21"/>
    <w:rsid w:val="00FD41D2"/>
    <w:rsid w:val="00FD78A9"/>
    <w:rsid w:val="00FD7C08"/>
    <w:rsid w:val="00FE03DA"/>
    <w:rsid w:val="00FE175C"/>
    <w:rsid w:val="00FE1799"/>
    <w:rsid w:val="00FE279A"/>
    <w:rsid w:val="00FE28E7"/>
    <w:rsid w:val="00FE2B22"/>
    <w:rsid w:val="00FE2DF4"/>
    <w:rsid w:val="00FE351D"/>
    <w:rsid w:val="00FE3F50"/>
    <w:rsid w:val="00FE4D81"/>
    <w:rsid w:val="00FE4EF8"/>
    <w:rsid w:val="00FE56AB"/>
    <w:rsid w:val="00FF113A"/>
    <w:rsid w:val="00FF1EBD"/>
    <w:rsid w:val="00FF2011"/>
    <w:rsid w:val="00FF2DD0"/>
    <w:rsid w:val="00FF3363"/>
    <w:rsid w:val="00FF3674"/>
    <w:rsid w:val="00FF39BB"/>
    <w:rsid w:val="00FF3CA2"/>
    <w:rsid w:val="00FF4131"/>
    <w:rsid w:val="00FF4292"/>
    <w:rsid w:val="00FF483A"/>
    <w:rsid w:val="00FF5EAB"/>
    <w:rsid w:val="00FF6847"/>
    <w:rsid w:val="00FF6948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9723"/>
  <w15:chartTrackingRefBased/>
  <w15:docId w15:val="{6E1C5F0D-F9FC-4104-81F0-6CE3832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99"/>
  </w:style>
  <w:style w:type="paragraph" w:styleId="Ttulo1">
    <w:name w:val="heading 1"/>
    <w:basedOn w:val="Normal"/>
    <w:next w:val="Normal"/>
    <w:link w:val="Ttulo1Carter"/>
    <w:uiPriority w:val="9"/>
    <w:qFormat/>
    <w:rsid w:val="00476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8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14051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4051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4051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4051A"/>
    <w:rPr>
      <w:rFonts w:eastAsiaTheme="minorEastAsia" w:cs="Times New Roman"/>
      <w:color w:val="5A5A5A" w:themeColor="text1" w:themeTint="A5"/>
      <w:spacing w:val="15"/>
      <w:lang w:eastAsia="pt-PT"/>
    </w:rPr>
  </w:style>
  <w:style w:type="paragraph" w:styleId="SemEspaamento">
    <w:name w:val="No Spacing"/>
    <w:link w:val="SemEspaamentoCarter"/>
    <w:uiPriority w:val="1"/>
    <w:qFormat/>
    <w:rsid w:val="00CF013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F013F"/>
    <w:rPr>
      <w:rFonts w:eastAsiaTheme="minorEastAsia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F0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013F"/>
  </w:style>
  <w:style w:type="paragraph" w:styleId="Rodap">
    <w:name w:val="footer"/>
    <w:basedOn w:val="Normal"/>
    <w:link w:val="RodapCarter"/>
    <w:uiPriority w:val="99"/>
    <w:unhideWhenUsed/>
    <w:rsid w:val="00CF0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013F"/>
  </w:style>
  <w:style w:type="paragraph" w:styleId="PargrafodaLista">
    <w:name w:val="List Paragraph"/>
    <w:basedOn w:val="Normal"/>
    <w:link w:val="PargrafodaListaCarter"/>
    <w:uiPriority w:val="34"/>
    <w:qFormat/>
    <w:rsid w:val="004C189B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arter">
    <w:name w:val="Parágrafo da Lista Caráter"/>
    <w:link w:val="PargrafodaLista"/>
    <w:uiPriority w:val="34"/>
    <w:locked/>
    <w:rsid w:val="004C189B"/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rsid w:val="00B1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14B9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4B9B"/>
    <w:rPr>
      <w:vertAlign w:val="superscript"/>
    </w:rPr>
  </w:style>
  <w:style w:type="paragraph" w:styleId="ndice1">
    <w:name w:val="toc 1"/>
    <w:basedOn w:val="Normal"/>
    <w:next w:val="Normal"/>
    <w:autoRedefine/>
    <w:uiPriority w:val="39"/>
    <w:unhideWhenUsed/>
    <w:rsid w:val="004762B3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C76728"/>
    <w:pPr>
      <w:tabs>
        <w:tab w:val="left" w:pos="880"/>
        <w:tab w:val="right" w:leader="dot" w:pos="8494"/>
      </w:tabs>
      <w:spacing w:after="0"/>
      <w:ind w:left="220"/>
    </w:pPr>
    <w:rPr>
      <w:rFonts w:ascii="Gill Sans MT" w:hAnsi="Gill Sans MT"/>
      <w:b/>
      <w:smallCaps/>
      <w:noProof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4762B3"/>
    <w:pPr>
      <w:spacing w:after="0"/>
      <w:ind w:left="440"/>
    </w:pPr>
    <w:rPr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4762B3"/>
    <w:pPr>
      <w:spacing w:after="0"/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4762B3"/>
    <w:pPr>
      <w:spacing w:after="0"/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4762B3"/>
    <w:pPr>
      <w:spacing w:after="0"/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4762B3"/>
    <w:pPr>
      <w:spacing w:after="0"/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4762B3"/>
    <w:pPr>
      <w:spacing w:after="0"/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4762B3"/>
    <w:pPr>
      <w:spacing w:after="0"/>
      <w:ind w:left="1760"/>
    </w:pPr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4762B3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76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4762B3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84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840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840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840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40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409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40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0E27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9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3.xml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header" Target="header4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image" Target="media/image5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CDD4-2B08-459D-AAD8-6952E90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5458</Words>
  <Characters>29475</Characters>
  <Application>Microsoft Office Word</Application>
  <DocSecurity>0</DocSecurity>
  <Lines>245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[Subtítulo do documento]</vt:lpstr>
      <vt:lpstr>[Subtítulo do documento]</vt:lpstr>
    </vt:vector>
  </TitlesOfParts>
  <Company/>
  <LinksUpToDate>false</LinksUpToDate>
  <CharactersWithSpaces>34864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[Subtítulo do documento]</dc:title>
  <dc:subject/>
  <dc:creator>MF / DNP - Jose Felix Delgado</dc:creator>
  <cp:keywords/>
  <dc:description/>
  <cp:lastModifiedBy>MF / GMF - Sani Ramos Fonseca</cp:lastModifiedBy>
  <cp:revision>33</cp:revision>
  <cp:lastPrinted>2019-08-21T19:12:00Z</cp:lastPrinted>
  <dcterms:created xsi:type="dcterms:W3CDTF">2021-03-11T11:29:00Z</dcterms:created>
  <dcterms:modified xsi:type="dcterms:W3CDTF">2021-07-14T18:18:00Z</dcterms:modified>
</cp:coreProperties>
</file>